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AA5FD" w14:textId="4B64B207" w:rsidR="00996B1E" w:rsidRDefault="00996B1E" w:rsidP="004A36A2">
      <w:pPr>
        <w:pStyle w:val="paragraph"/>
        <w:spacing w:before="0" w:beforeAutospacing="0" w:after="0" w:afterAutospacing="0"/>
        <w:ind w:left="1440"/>
        <w:jc w:val="both"/>
        <w:textAlignment w:val="baseline"/>
        <w:rPr>
          <w:rStyle w:val="eop"/>
        </w:rPr>
      </w:pPr>
      <w:r>
        <w:rPr>
          <w:rStyle w:val="normaltextrun"/>
        </w:rPr>
        <w:t>“Sexual Assault” includes the sex offenses of Rape, Sodomy, Sexual Assault with an Object, Fondling, Incest, and Statutory Rape.</w:t>
      </w:r>
      <w:bookmarkStart w:id="0" w:name="_GoBack"/>
      <w:bookmarkEnd w:id="0"/>
    </w:p>
    <w:p w14:paraId="46A09C6A" w14:textId="77777777" w:rsidR="00996B1E" w:rsidRDefault="00996B1E" w:rsidP="00996B1E">
      <w:pPr>
        <w:pStyle w:val="paragraph"/>
        <w:spacing w:before="0" w:beforeAutospacing="0" w:after="0" w:afterAutospacing="0"/>
        <w:ind w:left="1440"/>
        <w:jc w:val="both"/>
        <w:textAlignment w:val="baseline"/>
      </w:pPr>
    </w:p>
    <w:p w14:paraId="1B4E8C97" w14:textId="77777777" w:rsidR="00996B1E" w:rsidRDefault="00996B1E" w:rsidP="00996B1E">
      <w:pPr>
        <w:pStyle w:val="paragraph"/>
        <w:numPr>
          <w:ilvl w:val="0"/>
          <w:numId w:val="2"/>
        </w:numPr>
        <w:spacing w:before="0" w:beforeAutospacing="0" w:after="0" w:afterAutospacing="0"/>
        <w:ind w:left="2160" w:firstLine="0"/>
        <w:jc w:val="both"/>
        <w:textAlignment w:val="baseline"/>
      </w:pPr>
      <w:r>
        <w:rPr>
          <w:rStyle w:val="normaltextrun"/>
        </w:rPr>
        <w:t>“Rape” is the carnal knowledge of a person, without the consent of the victim, including instances where the victim is incapable of giving consent because of his/her age or because of his/her temporary or permanent mental or physical incapacity.  There is “carnal knowledge” if there is the slightest penetration of the vagina or penis by the sexual organ of the other person.  Attempted Rape is included. </w:t>
      </w:r>
      <w:r>
        <w:rPr>
          <w:rStyle w:val="eop"/>
        </w:rPr>
        <w:t> </w:t>
      </w:r>
    </w:p>
    <w:p w14:paraId="2F7440BE" w14:textId="77777777" w:rsidR="00996B1E" w:rsidRDefault="00996B1E" w:rsidP="00996B1E">
      <w:pPr>
        <w:pStyle w:val="paragraph"/>
        <w:numPr>
          <w:ilvl w:val="0"/>
          <w:numId w:val="3"/>
        </w:numPr>
        <w:spacing w:before="0" w:beforeAutospacing="0" w:after="0" w:afterAutospacing="0"/>
        <w:ind w:left="2160" w:firstLine="0"/>
        <w:jc w:val="both"/>
        <w:textAlignment w:val="baseline"/>
      </w:pPr>
      <w:r>
        <w:rPr>
          <w:rStyle w:val="normaltextrun"/>
        </w:rPr>
        <w:t>“Sodomy” is oral or anal sexual intercourse with another person, without the consent of the victim, including instances where the victim is incapable of giving consent because of his/her age or because of his/her temporary or permanent mental or physical incapacity.</w:t>
      </w:r>
      <w:r>
        <w:rPr>
          <w:rStyle w:val="eop"/>
        </w:rPr>
        <w:t> </w:t>
      </w:r>
    </w:p>
    <w:p w14:paraId="19E4823B" w14:textId="77777777" w:rsidR="00996B1E" w:rsidRDefault="00996B1E" w:rsidP="00996B1E">
      <w:pPr>
        <w:pStyle w:val="paragraph"/>
        <w:numPr>
          <w:ilvl w:val="0"/>
          <w:numId w:val="4"/>
        </w:numPr>
        <w:spacing w:before="0" w:beforeAutospacing="0" w:after="0" w:afterAutospacing="0"/>
        <w:ind w:left="2160" w:firstLine="0"/>
        <w:jc w:val="both"/>
        <w:textAlignment w:val="baseline"/>
      </w:pPr>
      <w:r>
        <w:rPr>
          <w:rStyle w:val="normaltextrun"/>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  An “object” or “instrument” is anything used by the offender other than the offender’s genitalia.</w:t>
      </w:r>
      <w:r>
        <w:rPr>
          <w:rStyle w:val="eop"/>
        </w:rPr>
        <w:t> </w:t>
      </w:r>
    </w:p>
    <w:p w14:paraId="6E64D6AA" w14:textId="77777777" w:rsidR="00996B1E" w:rsidRDefault="00996B1E" w:rsidP="00996B1E">
      <w:pPr>
        <w:pStyle w:val="paragraph"/>
        <w:numPr>
          <w:ilvl w:val="0"/>
          <w:numId w:val="5"/>
        </w:numPr>
        <w:spacing w:before="0" w:beforeAutospacing="0" w:after="0" w:afterAutospacing="0"/>
        <w:ind w:left="2160" w:firstLine="0"/>
        <w:jc w:val="both"/>
        <w:textAlignment w:val="baseline"/>
      </w:pPr>
      <w:r>
        <w:rPr>
          <w:rStyle w:val="normaltextrun"/>
        </w:rPr>
        <w:t>“Fondling” is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r>
        <w:rPr>
          <w:rStyle w:val="eop"/>
        </w:rPr>
        <w:t> </w:t>
      </w:r>
    </w:p>
    <w:p w14:paraId="2D8C31AB" w14:textId="77777777" w:rsidR="00996B1E" w:rsidRDefault="00996B1E" w:rsidP="00996B1E">
      <w:pPr>
        <w:pStyle w:val="paragraph"/>
        <w:numPr>
          <w:ilvl w:val="0"/>
          <w:numId w:val="6"/>
        </w:numPr>
        <w:spacing w:before="0" w:beforeAutospacing="0" w:after="0" w:afterAutospacing="0"/>
        <w:ind w:left="2160" w:firstLine="0"/>
        <w:jc w:val="both"/>
        <w:textAlignment w:val="baseline"/>
      </w:pPr>
      <w:r>
        <w:rPr>
          <w:rStyle w:val="normaltextrun"/>
        </w:rPr>
        <w:t>“Incest” is sexual intercourse between persons who are related to each other within the degrees wherein marriage is prohibited by Kansas law.</w:t>
      </w:r>
      <w:r>
        <w:rPr>
          <w:rStyle w:val="eop"/>
        </w:rPr>
        <w:t> </w:t>
      </w:r>
    </w:p>
    <w:p w14:paraId="765A34F9" w14:textId="77777777" w:rsidR="00996B1E" w:rsidRDefault="00996B1E" w:rsidP="00996B1E">
      <w:pPr>
        <w:pStyle w:val="paragraph"/>
        <w:numPr>
          <w:ilvl w:val="0"/>
          <w:numId w:val="7"/>
        </w:numPr>
        <w:spacing w:before="0" w:beforeAutospacing="0" w:after="0" w:afterAutospacing="0"/>
        <w:ind w:left="2160" w:firstLine="0"/>
        <w:jc w:val="both"/>
        <w:textAlignment w:val="baseline"/>
      </w:pPr>
      <w:r>
        <w:rPr>
          <w:rStyle w:val="normaltextrun"/>
        </w:rPr>
        <w:t>“Statutory Rape” is sexual intercourse with a person who is under the statutory age of consent as defined by Kansas law.</w:t>
      </w:r>
      <w:r>
        <w:rPr>
          <w:rStyle w:val="eop"/>
        </w:rPr>
        <w:t> </w:t>
      </w:r>
    </w:p>
    <w:p w14:paraId="2B0B1FC3" w14:textId="77777777" w:rsidR="00211F6D" w:rsidRDefault="004A36A2"/>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BF"/>
    <w:multiLevelType w:val="multilevel"/>
    <w:tmpl w:val="BAD89EF6"/>
    <w:lvl w:ilvl="0">
      <w:start w:val="4"/>
      <w:numFmt w:val="upperLetter"/>
      <w:lvlText w:val="%1."/>
      <w:lvlJc w:val="left"/>
      <w:pPr>
        <w:tabs>
          <w:tab w:val="num" w:pos="2160"/>
        </w:tabs>
        <w:ind w:left="2160" w:hanging="360"/>
      </w:pPr>
    </w:lvl>
    <w:lvl w:ilvl="1" w:tentative="1">
      <w:start w:val="1"/>
      <w:numFmt w:val="upperLetter"/>
      <w:lvlText w:val="%2."/>
      <w:lvlJc w:val="left"/>
      <w:pPr>
        <w:tabs>
          <w:tab w:val="num" w:pos="2880"/>
        </w:tabs>
        <w:ind w:left="2880" w:hanging="360"/>
      </w:pPr>
    </w:lvl>
    <w:lvl w:ilvl="2" w:tentative="1">
      <w:start w:val="1"/>
      <w:numFmt w:val="upp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1" w15:restartNumberingAfterBreak="0">
    <w:nsid w:val="09897FBB"/>
    <w:multiLevelType w:val="multilevel"/>
    <w:tmpl w:val="17F47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929F2"/>
    <w:multiLevelType w:val="multilevel"/>
    <w:tmpl w:val="C4048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00BE"/>
    <w:multiLevelType w:val="multilevel"/>
    <w:tmpl w:val="6E5AE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245AA"/>
    <w:multiLevelType w:val="multilevel"/>
    <w:tmpl w:val="876E1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E0C4A"/>
    <w:multiLevelType w:val="multilevel"/>
    <w:tmpl w:val="418A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35188A"/>
    <w:multiLevelType w:val="multilevel"/>
    <w:tmpl w:val="4B7AF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E"/>
    <w:rsid w:val="004A36A2"/>
    <w:rsid w:val="00505079"/>
    <w:rsid w:val="005B3C29"/>
    <w:rsid w:val="0099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71DA"/>
  <w15:chartTrackingRefBased/>
  <w15:docId w15:val="{B293A71A-2877-4AE3-8644-D924C870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6B1E"/>
  </w:style>
  <w:style w:type="character" w:customStyle="1" w:styleId="superscript">
    <w:name w:val="superscript"/>
    <w:basedOn w:val="DefaultParagraphFont"/>
    <w:rsid w:val="00996B1E"/>
  </w:style>
  <w:style w:type="character" w:customStyle="1" w:styleId="eop">
    <w:name w:val="eop"/>
    <w:basedOn w:val="DefaultParagraphFont"/>
    <w:rsid w:val="0099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6096">
      <w:bodyDiv w:val="1"/>
      <w:marLeft w:val="0"/>
      <w:marRight w:val="0"/>
      <w:marTop w:val="0"/>
      <w:marBottom w:val="0"/>
      <w:divBdr>
        <w:top w:val="none" w:sz="0" w:space="0" w:color="auto"/>
        <w:left w:val="none" w:sz="0" w:space="0" w:color="auto"/>
        <w:bottom w:val="none" w:sz="0" w:space="0" w:color="auto"/>
        <w:right w:val="none" w:sz="0" w:space="0" w:color="auto"/>
      </w:divBdr>
      <w:divsChild>
        <w:div w:id="1851792354">
          <w:marLeft w:val="0"/>
          <w:marRight w:val="0"/>
          <w:marTop w:val="0"/>
          <w:marBottom w:val="0"/>
          <w:divBdr>
            <w:top w:val="none" w:sz="0" w:space="0" w:color="auto"/>
            <w:left w:val="none" w:sz="0" w:space="0" w:color="auto"/>
            <w:bottom w:val="none" w:sz="0" w:space="0" w:color="auto"/>
            <w:right w:val="none" w:sz="0" w:space="0" w:color="auto"/>
          </w:divBdr>
        </w:div>
        <w:div w:id="716441659">
          <w:marLeft w:val="0"/>
          <w:marRight w:val="0"/>
          <w:marTop w:val="0"/>
          <w:marBottom w:val="0"/>
          <w:divBdr>
            <w:top w:val="none" w:sz="0" w:space="0" w:color="auto"/>
            <w:left w:val="none" w:sz="0" w:space="0" w:color="auto"/>
            <w:bottom w:val="none" w:sz="0" w:space="0" w:color="auto"/>
            <w:right w:val="none" w:sz="0" w:space="0" w:color="auto"/>
          </w:divBdr>
        </w:div>
        <w:div w:id="21320015">
          <w:marLeft w:val="0"/>
          <w:marRight w:val="0"/>
          <w:marTop w:val="0"/>
          <w:marBottom w:val="0"/>
          <w:divBdr>
            <w:top w:val="none" w:sz="0" w:space="0" w:color="auto"/>
            <w:left w:val="none" w:sz="0" w:space="0" w:color="auto"/>
            <w:bottom w:val="none" w:sz="0" w:space="0" w:color="auto"/>
            <w:right w:val="none" w:sz="0" w:space="0" w:color="auto"/>
          </w:divBdr>
        </w:div>
        <w:div w:id="1525168446">
          <w:marLeft w:val="0"/>
          <w:marRight w:val="0"/>
          <w:marTop w:val="0"/>
          <w:marBottom w:val="0"/>
          <w:divBdr>
            <w:top w:val="none" w:sz="0" w:space="0" w:color="auto"/>
            <w:left w:val="none" w:sz="0" w:space="0" w:color="auto"/>
            <w:bottom w:val="none" w:sz="0" w:space="0" w:color="auto"/>
            <w:right w:val="none" w:sz="0" w:space="0" w:color="auto"/>
          </w:divBdr>
        </w:div>
        <w:div w:id="650989007">
          <w:marLeft w:val="0"/>
          <w:marRight w:val="0"/>
          <w:marTop w:val="0"/>
          <w:marBottom w:val="0"/>
          <w:divBdr>
            <w:top w:val="none" w:sz="0" w:space="0" w:color="auto"/>
            <w:left w:val="none" w:sz="0" w:space="0" w:color="auto"/>
            <w:bottom w:val="none" w:sz="0" w:space="0" w:color="auto"/>
            <w:right w:val="none" w:sz="0" w:space="0" w:color="auto"/>
          </w:divBdr>
        </w:div>
        <w:div w:id="911626900">
          <w:marLeft w:val="0"/>
          <w:marRight w:val="0"/>
          <w:marTop w:val="0"/>
          <w:marBottom w:val="0"/>
          <w:divBdr>
            <w:top w:val="none" w:sz="0" w:space="0" w:color="auto"/>
            <w:left w:val="none" w:sz="0" w:space="0" w:color="auto"/>
            <w:bottom w:val="none" w:sz="0" w:space="0" w:color="auto"/>
            <w:right w:val="none" w:sz="0" w:space="0" w:color="auto"/>
          </w:divBdr>
        </w:div>
        <w:div w:id="30628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2020-11-18T21:42:00Z</dcterms:created>
  <dcterms:modified xsi:type="dcterms:W3CDTF">2020-11-18T21:42:00Z</dcterms:modified>
</cp:coreProperties>
</file>