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r w:rsidRPr="00D163E5">
        <w:rPr>
          <w:rFonts w:ascii="Arial" w:eastAsia="Times New Roman" w:hAnsi="Arial" w:cs="Arial"/>
          <w:b/>
          <w:bCs/>
          <w:color w:val="5E5A58"/>
          <w:sz w:val="21"/>
          <w:szCs w:val="21"/>
        </w:rPr>
        <w:t>ADM 170 – McPherson College Nondiscrimination/Equal Employment Opportunity/Sexual Misconduct Statement</w:t>
      </w:r>
    </w:p>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t>In accordance with state and federal law, McPherson College does not discriminate on the basis of race, creed, color, religion, national origin, ancestry, citizenship status, age, disability, sex, marital status, veteran status, genetic information, sexual orientation, or any other legally protected characteristic, in the hiring process, during employment, and in the operation of all College programs, activities, and services, including, but not limited to, academics, athletics, other extracurricular activities, the awarding of student financial aid, recruitment, admissions, and housing.</w:t>
      </w:r>
    </w:p>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t>Persons having inquiries concerning the College’s compliance with this policy or any laws and regulations prohibiting discrimination are directed to contact the following:</w:t>
      </w:r>
    </w:p>
    <w:p w:rsidR="00D163E5" w:rsidRPr="00D163E5" w:rsidRDefault="00D163E5" w:rsidP="00D163E5">
      <w:pPr>
        <w:numPr>
          <w:ilvl w:val="0"/>
          <w:numId w:val="1"/>
        </w:numPr>
        <w:shd w:val="clear" w:color="auto" w:fill="FFFFFF"/>
        <w:spacing w:before="100" w:beforeAutospacing="1" w:after="100" w:afterAutospacing="1"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t>A current student or potential student with questions or concerns about any type of discrimination is encouraged to bring these issues to the attention of the Vice President of Academic Affairs, who may be contacted at:  (620) 242-0506 or </w:t>
      </w:r>
      <w:hyperlink r:id="rId5" w:history="1">
        <w:r w:rsidRPr="00D163E5">
          <w:rPr>
            <w:rFonts w:ascii="Arial" w:eastAsia="Times New Roman" w:hAnsi="Arial" w:cs="Arial"/>
            <w:color w:val="B20000"/>
            <w:sz w:val="21"/>
            <w:szCs w:val="21"/>
            <w:u w:val="single"/>
          </w:rPr>
          <w:t>claryb@mcpherson.edu</w:t>
        </w:r>
      </w:hyperlink>
      <w:r w:rsidRPr="00D163E5">
        <w:rPr>
          <w:rFonts w:ascii="Arial" w:eastAsia="Times New Roman" w:hAnsi="Arial" w:cs="Arial"/>
          <w:color w:val="5E5A58"/>
          <w:sz w:val="21"/>
          <w:szCs w:val="21"/>
        </w:rPr>
        <w:t>.  Additionally, any member of the college’s administration may be contacted with questions or concerns.</w:t>
      </w:r>
    </w:p>
    <w:p w:rsidR="00D163E5" w:rsidRPr="00D163E5" w:rsidRDefault="00D163E5" w:rsidP="00D163E5">
      <w:pPr>
        <w:numPr>
          <w:ilvl w:val="0"/>
          <w:numId w:val="1"/>
        </w:numPr>
        <w:shd w:val="clear" w:color="auto" w:fill="FFFFFF"/>
        <w:spacing w:before="100" w:beforeAutospacing="1" w:after="100" w:afterAutospacing="1"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t>An employee with questions or concerns about any type of discrimination in the workplace or an applicant, who has applied for an open position at McPherson College, is encouraged to bring these issues to the attention of the Director of Human Resources, who may be contacted at: (620) 242-0454 or </w:t>
      </w:r>
      <w:hyperlink r:id="rId6" w:history="1">
        <w:r w:rsidRPr="00D163E5">
          <w:rPr>
            <w:rFonts w:ascii="Arial" w:eastAsia="Times New Roman" w:hAnsi="Arial" w:cs="Arial"/>
            <w:color w:val="B20000"/>
            <w:sz w:val="21"/>
            <w:szCs w:val="21"/>
            <w:u w:val="single"/>
          </w:rPr>
          <w:t>stocklib@mcpherson.edu</w:t>
        </w:r>
      </w:hyperlink>
      <w:r w:rsidRPr="00D163E5">
        <w:rPr>
          <w:rFonts w:ascii="Arial" w:eastAsia="Times New Roman" w:hAnsi="Arial" w:cs="Arial"/>
          <w:color w:val="5E5A58"/>
          <w:sz w:val="21"/>
          <w:szCs w:val="21"/>
        </w:rPr>
        <w:t>. Additionally, employees should feel free to raise concerns of discrimination with their immediate supervisors at any time.</w:t>
      </w:r>
    </w:p>
    <w:p w:rsidR="00D163E5" w:rsidRPr="00D163E5" w:rsidRDefault="00D163E5" w:rsidP="00D163E5">
      <w:pPr>
        <w:numPr>
          <w:ilvl w:val="0"/>
          <w:numId w:val="1"/>
        </w:numPr>
        <w:shd w:val="clear" w:color="auto" w:fill="FFFFFF"/>
        <w:spacing w:before="100" w:beforeAutospacing="1" w:after="100" w:afterAutospacing="1"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t>Questions or concerns regarding the College’s compliance with Title IX and its prohibition of sex discrimination may be directed to the Title IX Coordinator. McPherson has designated the following Title IX Coordinator and Deputy Title IX Coordinator as named in the College’s Sexual Harassment Policy.</w:t>
      </w:r>
    </w:p>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t>Dr. Bruce Clary</w:t>
      </w:r>
    </w:p>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t>1600 East Euclid</w:t>
      </w:r>
    </w:p>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t>Vice President for Academic Affairs</w:t>
      </w:r>
    </w:p>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t>McPherson College</w:t>
      </w:r>
    </w:p>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t>McPherson KS  67460</w:t>
      </w:r>
    </w:p>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t>(620) 242-0506</w:t>
      </w:r>
    </w:p>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r w:rsidRPr="00D163E5">
        <w:rPr>
          <w:rFonts w:ascii="Arial" w:eastAsia="Times New Roman" w:hAnsi="Arial" w:cs="Arial"/>
          <w:b/>
          <w:bCs/>
          <w:color w:val="5E5A58"/>
          <w:sz w:val="21"/>
          <w:szCs w:val="21"/>
        </w:rPr>
        <w:t> </w:t>
      </w:r>
    </w:p>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t>Brenda Jill Stocklin-Smith, M.Ed.</w:t>
      </w:r>
    </w:p>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t>1600 East Euclid</w:t>
      </w:r>
    </w:p>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t>Human Resources</w:t>
      </w:r>
    </w:p>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t>McPherson College</w:t>
      </w:r>
    </w:p>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lastRenderedPageBreak/>
        <w:t>McPherson KS  67460</w:t>
      </w:r>
    </w:p>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t>(620) 242-0454</w:t>
      </w:r>
    </w:p>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hyperlink r:id="rId7" w:history="1">
        <w:r w:rsidRPr="00D163E5">
          <w:rPr>
            <w:rFonts w:ascii="Arial" w:eastAsia="Times New Roman" w:hAnsi="Arial" w:cs="Arial"/>
            <w:color w:val="B20000"/>
            <w:sz w:val="21"/>
            <w:szCs w:val="21"/>
            <w:u w:val="single"/>
          </w:rPr>
          <w:t>stocklib@mcpherson.edu</w:t>
        </w:r>
      </w:hyperlink>
    </w:p>
    <w:p w:rsidR="00D163E5" w:rsidRPr="00D163E5" w:rsidRDefault="00D163E5" w:rsidP="00D163E5">
      <w:pPr>
        <w:shd w:val="clear" w:color="auto" w:fill="FFFFFF"/>
        <w:spacing w:after="300" w:line="240" w:lineRule="auto"/>
        <w:rPr>
          <w:rFonts w:ascii="Arial" w:eastAsia="Times New Roman" w:hAnsi="Arial" w:cs="Arial"/>
          <w:color w:val="5E5A58"/>
          <w:sz w:val="21"/>
          <w:szCs w:val="21"/>
        </w:rPr>
      </w:pPr>
      <w:r w:rsidRPr="00D163E5">
        <w:rPr>
          <w:rFonts w:ascii="Arial" w:eastAsia="Times New Roman" w:hAnsi="Arial" w:cs="Arial"/>
          <w:color w:val="5E5A58"/>
          <w:sz w:val="21"/>
          <w:szCs w:val="21"/>
        </w:rPr>
        <w:t> </w:t>
      </w:r>
    </w:p>
    <w:p w:rsidR="00562F74" w:rsidRDefault="00562F74">
      <w:bookmarkStart w:id="0" w:name="_GoBack"/>
      <w:bookmarkEnd w:id="0"/>
    </w:p>
    <w:sectPr w:rsidR="00562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D1399"/>
    <w:multiLevelType w:val="multilevel"/>
    <w:tmpl w:val="071A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E5"/>
    <w:rsid w:val="00562F74"/>
    <w:rsid w:val="00D1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FD678-A6E8-47E1-800C-A7943BA0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ocklib@mcpher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cklib@mcpherson.edu" TargetMode="External"/><Relationship Id="rId5" Type="http://schemas.openxmlformats.org/officeDocument/2006/relationships/hyperlink" Target="mailto:claryb@mcphers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Stocklin-Smith</dc:creator>
  <cp:keywords/>
  <dc:description/>
  <cp:lastModifiedBy>Brenda Stocklin-Smith</cp:lastModifiedBy>
  <cp:revision>1</cp:revision>
  <dcterms:created xsi:type="dcterms:W3CDTF">2021-01-25T18:34:00Z</dcterms:created>
  <dcterms:modified xsi:type="dcterms:W3CDTF">2021-01-25T18:36:00Z</dcterms:modified>
</cp:coreProperties>
</file>