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5A" w:rsidRPr="00EF7341" w:rsidRDefault="00E50A5A" w:rsidP="00146EF8">
      <w:pPr>
        <w:spacing w:after="0" w:line="240" w:lineRule="auto"/>
        <w:jc w:val="center"/>
        <w:rPr>
          <w:rFonts w:ascii="Arial" w:hAnsi="Arial" w:cs="Arial"/>
          <w:b/>
          <w:sz w:val="18"/>
          <w:szCs w:val="18"/>
        </w:rPr>
      </w:pPr>
      <w:r w:rsidRPr="00EF7341">
        <w:rPr>
          <w:rFonts w:ascii="Arial" w:hAnsi="Arial" w:cs="Arial"/>
          <w:b/>
          <w:sz w:val="18"/>
          <w:szCs w:val="18"/>
        </w:rPr>
        <w:t xml:space="preserve">What </w:t>
      </w:r>
      <w:r w:rsidR="00FD4EDF" w:rsidRPr="00EF7341">
        <w:rPr>
          <w:rFonts w:ascii="Arial" w:hAnsi="Arial" w:cs="Arial"/>
          <w:b/>
          <w:sz w:val="18"/>
          <w:szCs w:val="18"/>
        </w:rPr>
        <w:t xml:space="preserve">You Need to Know about Title IX </w:t>
      </w:r>
      <w:r w:rsidR="003E62B3" w:rsidRPr="00EF7341">
        <w:rPr>
          <w:rFonts w:ascii="Arial" w:hAnsi="Arial" w:cs="Arial"/>
          <w:b/>
          <w:sz w:val="18"/>
          <w:szCs w:val="18"/>
        </w:rPr>
        <w:t>as</w:t>
      </w:r>
      <w:r w:rsidR="00E55DB6">
        <w:rPr>
          <w:rFonts w:ascii="Arial" w:hAnsi="Arial" w:cs="Arial"/>
          <w:b/>
          <w:sz w:val="18"/>
          <w:szCs w:val="18"/>
        </w:rPr>
        <w:t xml:space="preserve"> a Member of the McPherson College Community</w:t>
      </w:r>
    </w:p>
    <w:p w:rsidR="00FD4EDF" w:rsidRPr="00EF7341" w:rsidRDefault="00FD4EDF" w:rsidP="003E62B3">
      <w:pPr>
        <w:spacing w:after="0" w:line="240" w:lineRule="auto"/>
        <w:jc w:val="center"/>
        <w:rPr>
          <w:rFonts w:ascii="Arial" w:hAnsi="Arial" w:cs="Arial"/>
          <w:sz w:val="18"/>
          <w:szCs w:val="18"/>
        </w:rPr>
      </w:pPr>
    </w:p>
    <w:p w:rsidR="003E62B3" w:rsidRPr="00EF7341" w:rsidRDefault="00E50A5A" w:rsidP="003E62B3">
      <w:pPr>
        <w:pStyle w:val="ListParagraph"/>
        <w:numPr>
          <w:ilvl w:val="0"/>
          <w:numId w:val="2"/>
        </w:numPr>
        <w:spacing w:after="0" w:line="240" w:lineRule="auto"/>
        <w:rPr>
          <w:rFonts w:ascii="Arial" w:hAnsi="Arial" w:cs="Arial"/>
          <w:bCs/>
          <w:sz w:val="18"/>
          <w:szCs w:val="18"/>
        </w:rPr>
      </w:pPr>
      <w:r w:rsidRPr="00EF7341">
        <w:rPr>
          <w:rFonts w:ascii="Arial" w:hAnsi="Arial" w:cs="Arial"/>
          <w:sz w:val="18"/>
          <w:szCs w:val="18"/>
        </w:rPr>
        <w:t xml:space="preserve">Our college’s administrative policy is:  </w:t>
      </w:r>
      <w:r w:rsidRPr="00EF7341">
        <w:rPr>
          <w:rFonts w:ascii="Arial" w:hAnsi="Arial" w:cs="Arial"/>
          <w:b/>
          <w:bCs/>
          <w:sz w:val="18"/>
          <w:szCs w:val="18"/>
        </w:rPr>
        <w:t xml:space="preserve">ADM 150 – Sexual Harassment Policy and Title IX Grievance </w:t>
      </w:r>
    </w:p>
    <w:p w:rsidR="00E50A5A" w:rsidRPr="00EF7341" w:rsidRDefault="00E50A5A" w:rsidP="003E62B3">
      <w:pPr>
        <w:pStyle w:val="ListParagraph"/>
        <w:spacing w:after="0" w:line="240" w:lineRule="auto"/>
        <w:rPr>
          <w:rFonts w:ascii="Arial" w:hAnsi="Arial" w:cs="Arial"/>
          <w:bCs/>
          <w:sz w:val="18"/>
          <w:szCs w:val="18"/>
        </w:rPr>
      </w:pPr>
      <w:r w:rsidRPr="00EF7341">
        <w:rPr>
          <w:rFonts w:ascii="Arial" w:hAnsi="Arial" w:cs="Arial"/>
          <w:b/>
          <w:bCs/>
          <w:sz w:val="18"/>
          <w:szCs w:val="18"/>
        </w:rPr>
        <w:t>Procedures</w:t>
      </w:r>
      <w:r w:rsidRPr="00EF7341">
        <w:rPr>
          <w:rFonts w:ascii="Arial" w:hAnsi="Arial" w:cs="Arial"/>
          <w:bCs/>
          <w:sz w:val="18"/>
          <w:szCs w:val="18"/>
        </w:rPr>
        <w:t xml:space="preserve"> located on our intranet site</w:t>
      </w:r>
    </w:p>
    <w:p w:rsidR="003E62B3" w:rsidRPr="00EF7341" w:rsidRDefault="003E62B3" w:rsidP="003E62B3">
      <w:pPr>
        <w:pStyle w:val="NormalWeb"/>
        <w:numPr>
          <w:ilvl w:val="0"/>
          <w:numId w:val="2"/>
        </w:numPr>
        <w:tabs>
          <w:tab w:val="left" w:pos="720"/>
        </w:tabs>
        <w:spacing w:before="0" w:beforeAutospacing="0" w:after="0" w:afterAutospacing="0"/>
        <w:rPr>
          <w:rFonts w:ascii="Arial" w:hAnsi="Arial" w:cs="Arial"/>
          <w:sz w:val="18"/>
          <w:szCs w:val="18"/>
        </w:rPr>
      </w:pPr>
      <w:r w:rsidRPr="00EF7341">
        <w:rPr>
          <w:rFonts w:ascii="Arial" w:hAnsi="Arial" w:cs="Arial"/>
          <w:color w:val="000000" w:themeColor="text1"/>
          <w:kern w:val="24"/>
          <w:sz w:val="18"/>
          <w:szCs w:val="18"/>
        </w:rPr>
        <w:t xml:space="preserve">This policy. ADM #150 applies only to Sexual Harassment.  </w:t>
      </w:r>
      <w:r w:rsidRPr="00EF7341">
        <w:rPr>
          <w:rFonts w:ascii="Arial" w:hAnsi="Arial" w:cs="Arial"/>
          <w:b/>
          <w:color w:val="000000" w:themeColor="text1"/>
          <w:kern w:val="24"/>
          <w:sz w:val="18"/>
          <w:szCs w:val="18"/>
        </w:rPr>
        <w:t>Complaints of other forms of sex discrimination</w:t>
      </w:r>
      <w:r w:rsidRPr="00EF7341">
        <w:rPr>
          <w:rFonts w:ascii="Arial" w:hAnsi="Arial" w:cs="Arial"/>
          <w:color w:val="000000" w:themeColor="text1"/>
          <w:kern w:val="24"/>
          <w:sz w:val="18"/>
          <w:szCs w:val="18"/>
        </w:rPr>
        <w:t xml:space="preserve"> are governed by the College’s Non-Discrimination Policy or ADM #180 </w:t>
      </w:r>
      <w:r w:rsidRPr="00EF7341">
        <w:rPr>
          <w:rFonts w:ascii="Arial" w:eastAsiaTheme="minorEastAsia" w:hAnsi="Arial" w:cs="Arial"/>
          <w:b/>
          <w:bCs/>
          <w:color w:val="000000" w:themeColor="text1"/>
          <w:kern w:val="24"/>
          <w:sz w:val="18"/>
          <w:szCs w:val="18"/>
        </w:rPr>
        <w:t>McPherson College Policy Against Discrimination, Harassment, and Retaliation and Complaint Procedure</w:t>
      </w:r>
    </w:p>
    <w:p w:rsidR="00E54855" w:rsidRPr="00CF28F3" w:rsidRDefault="00E54855" w:rsidP="003E62B3">
      <w:pPr>
        <w:pStyle w:val="NormalWeb"/>
        <w:numPr>
          <w:ilvl w:val="0"/>
          <w:numId w:val="2"/>
        </w:numPr>
        <w:tabs>
          <w:tab w:val="left" w:pos="720"/>
        </w:tabs>
        <w:spacing w:before="0" w:beforeAutospacing="0" w:after="0" w:afterAutospacing="0"/>
        <w:rPr>
          <w:rFonts w:ascii="Arial" w:hAnsi="Arial" w:cs="Arial"/>
          <w:b/>
          <w:sz w:val="18"/>
          <w:szCs w:val="18"/>
        </w:rPr>
      </w:pPr>
      <w:r w:rsidRPr="00CF28F3">
        <w:rPr>
          <w:rFonts w:ascii="Arial" w:hAnsi="Arial" w:cs="Arial"/>
          <w:b/>
          <w:bCs/>
          <w:sz w:val="18"/>
          <w:szCs w:val="18"/>
        </w:rPr>
        <w:t>Every college employee is a mandated reporter.</w:t>
      </w:r>
    </w:p>
    <w:p w:rsidR="00EF7341" w:rsidRPr="00EF7341" w:rsidRDefault="00EF7341" w:rsidP="003E62B3">
      <w:pPr>
        <w:pStyle w:val="NormalWeb"/>
        <w:numPr>
          <w:ilvl w:val="0"/>
          <w:numId w:val="2"/>
        </w:numPr>
        <w:tabs>
          <w:tab w:val="left" w:pos="720"/>
        </w:tabs>
        <w:spacing w:before="0" w:beforeAutospacing="0" w:after="0" w:afterAutospacing="0"/>
        <w:rPr>
          <w:rFonts w:ascii="Arial" w:hAnsi="Arial" w:cs="Arial"/>
          <w:sz w:val="18"/>
          <w:szCs w:val="18"/>
        </w:rPr>
      </w:pPr>
      <w:r w:rsidRPr="00EF7341">
        <w:rPr>
          <w:rFonts w:ascii="Arial" w:hAnsi="Arial" w:cs="Arial"/>
          <w:color w:val="000000" w:themeColor="text1"/>
          <w:kern w:val="24"/>
          <w:sz w:val="18"/>
          <w:szCs w:val="18"/>
        </w:rPr>
        <w:t xml:space="preserve">Administrators, faculty members, staff, students, contractors, guests, and other members of the College community who commit Sexual Harassment  </w:t>
      </w:r>
      <w:r w:rsidRPr="00EF7341">
        <w:rPr>
          <w:rFonts w:ascii="Arial" w:hAnsi="Arial" w:cs="Arial"/>
          <w:b/>
          <w:color w:val="000000" w:themeColor="text1"/>
          <w:kern w:val="24"/>
          <w:sz w:val="18"/>
          <w:szCs w:val="18"/>
        </w:rPr>
        <w:t>are subject to the full range of College discipline</w:t>
      </w:r>
    </w:p>
    <w:p w:rsidR="00E50A5A" w:rsidRPr="00EF7341" w:rsidRDefault="00A94268" w:rsidP="003E62B3">
      <w:pPr>
        <w:pStyle w:val="ListParagraph"/>
        <w:numPr>
          <w:ilvl w:val="0"/>
          <w:numId w:val="2"/>
        </w:numPr>
        <w:spacing w:after="0" w:line="240" w:lineRule="auto"/>
        <w:rPr>
          <w:rFonts w:ascii="Arial" w:hAnsi="Arial" w:cs="Arial"/>
          <w:bCs/>
          <w:sz w:val="18"/>
          <w:szCs w:val="18"/>
        </w:rPr>
      </w:pPr>
      <w:r w:rsidRPr="00EF7341">
        <w:rPr>
          <w:rFonts w:ascii="Arial" w:eastAsiaTheme="majorEastAsia" w:hAnsi="Arial" w:cs="Arial"/>
          <w:kern w:val="24"/>
          <w:position w:val="1"/>
          <w:sz w:val="18"/>
          <w:szCs w:val="18"/>
        </w:rPr>
        <w:t xml:space="preserve">What </w:t>
      </w:r>
      <w:r w:rsidRPr="00EF7341">
        <w:rPr>
          <w:rFonts w:ascii="Arial" w:eastAsiaTheme="majorEastAsia" w:hAnsi="Arial" w:cs="Arial"/>
          <w:b/>
          <w:kern w:val="24"/>
          <w:position w:val="1"/>
          <w:sz w:val="18"/>
          <w:szCs w:val="18"/>
        </w:rPr>
        <w:t>is Sexual Harassment</w:t>
      </w:r>
      <w:r w:rsidRPr="00EF7341">
        <w:rPr>
          <w:rFonts w:ascii="Arial" w:eastAsiaTheme="majorEastAsia" w:hAnsi="Arial" w:cs="Arial"/>
          <w:kern w:val="24"/>
          <w:position w:val="1"/>
          <w:sz w:val="18"/>
          <w:szCs w:val="18"/>
        </w:rPr>
        <w:t>?</w:t>
      </w:r>
    </w:p>
    <w:p w:rsidR="00E64262" w:rsidRPr="00EF7341" w:rsidRDefault="00E64262" w:rsidP="003E62B3">
      <w:pPr>
        <w:pStyle w:val="ListParagraph"/>
        <w:numPr>
          <w:ilvl w:val="1"/>
          <w:numId w:val="2"/>
        </w:numPr>
        <w:spacing w:after="0" w:line="240" w:lineRule="auto"/>
        <w:rPr>
          <w:rFonts w:ascii="Arial" w:hAnsi="Arial" w:cs="Arial"/>
          <w:sz w:val="18"/>
          <w:szCs w:val="18"/>
        </w:rPr>
      </w:pPr>
      <w:r w:rsidRPr="00EF7341">
        <w:rPr>
          <w:rFonts w:ascii="Arial" w:hAnsi="Arial" w:cs="Arial"/>
          <w:iCs/>
          <w:sz w:val="18"/>
          <w:szCs w:val="18"/>
        </w:rPr>
        <w:t>“</w:t>
      </w:r>
      <w:r w:rsidRPr="00EF7341">
        <w:rPr>
          <w:rFonts w:ascii="Arial" w:hAnsi="Arial" w:cs="Arial"/>
          <w:bCs/>
          <w:iCs/>
          <w:sz w:val="18"/>
          <w:szCs w:val="18"/>
        </w:rPr>
        <w:t xml:space="preserve">Sexual </w:t>
      </w:r>
      <w:r w:rsidR="00DD6D41" w:rsidRPr="00EF7341">
        <w:rPr>
          <w:rFonts w:ascii="Arial" w:hAnsi="Arial" w:cs="Arial"/>
          <w:bCs/>
          <w:iCs/>
          <w:sz w:val="18"/>
          <w:szCs w:val="18"/>
        </w:rPr>
        <w:t>Harassment</w:t>
      </w:r>
      <w:r w:rsidR="00DD6D41" w:rsidRPr="00EF7341">
        <w:rPr>
          <w:rFonts w:ascii="Arial" w:hAnsi="Arial" w:cs="Arial"/>
          <w:iCs/>
          <w:sz w:val="18"/>
          <w:szCs w:val="18"/>
        </w:rPr>
        <w:t>”</w:t>
      </w:r>
      <w:r w:rsidRPr="00EF7341">
        <w:rPr>
          <w:rFonts w:ascii="Arial" w:hAnsi="Arial" w:cs="Arial"/>
          <w:iCs/>
          <w:sz w:val="18"/>
          <w:szCs w:val="18"/>
        </w:rPr>
        <w:t xml:space="preserve"> is conduct on the basis of sex that constitutes Quid Pro Quo Sexual Harassment, Hostile Environment Sexual Harassment, Sexual Assault, Domestic Violence, Dating Violence, or Stalking.  </w:t>
      </w:r>
    </w:p>
    <w:p w:rsidR="00E64262" w:rsidRPr="00EF7341" w:rsidRDefault="00065B71" w:rsidP="003E62B3">
      <w:pPr>
        <w:pStyle w:val="ListParagraph"/>
        <w:numPr>
          <w:ilvl w:val="1"/>
          <w:numId w:val="2"/>
        </w:numPr>
        <w:spacing w:after="0" w:line="240" w:lineRule="auto"/>
        <w:rPr>
          <w:rFonts w:ascii="Arial" w:hAnsi="Arial" w:cs="Arial"/>
          <w:sz w:val="18"/>
          <w:szCs w:val="18"/>
        </w:rPr>
      </w:pPr>
      <w:r w:rsidRPr="00EF7341">
        <w:rPr>
          <w:rFonts w:ascii="Arial" w:hAnsi="Arial" w:cs="Arial"/>
          <w:iCs/>
          <w:sz w:val="18"/>
          <w:szCs w:val="18"/>
        </w:rPr>
        <w:t xml:space="preserve"> “</w:t>
      </w:r>
      <w:r w:rsidR="00E64262" w:rsidRPr="00EF7341">
        <w:rPr>
          <w:rFonts w:ascii="Arial" w:hAnsi="Arial" w:cs="Arial"/>
          <w:bCs/>
          <w:iCs/>
          <w:sz w:val="18"/>
          <w:szCs w:val="18"/>
        </w:rPr>
        <w:t>Quid Pro Quo Sexual Harassment</w:t>
      </w:r>
      <w:r w:rsidR="00E64262" w:rsidRPr="00EF7341">
        <w:rPr>
          <w:rFonts w:ascii="Arial" w:hAnsi="Arial" w:cs="Arial"/>
          <w:iCs/>
          <w:sz w:val="18"/>
          <w:szCs w:val="18"/>
        </w:rPr>
        <w:t>” is an employee of the College conditioning the provision of an aid, benefit, or service of the College on an individual’s participation in unwelcome sexual contact.</w:t>
      </w:r>
    </w:p>
    <w:p w:rsidR="00E64262" w:rsidRPr="00EF7341" w:rsidRDefault="00E64262" w:rsidP="003E62B3">
      <w:pPr>
        <w:pStyle w:val="ListParagraph"/>
        <w:numPr>
          <w:ilvl w:val="1"/>
          <w:numId w:val="2"/>
        </w:numPr>
        <w:spacing w:after="0" w:line="240" w:lineRule="auto"/>
        <w:rPr>
          <w:rFonts w:ascii="Arial" w:hAnsi="Arial" w:cs="Arial"/>
          <w:sz w:val="18"/>
          <w:szCs w:val="18"/>
        </w:rPr>
      </w:pPr>
      <w:r w:rsidRPr="00EF7341">
        <w:rPr>
          <w:rFonts w:ascii="Arial" w:hAnsi="Arial" w:cs="Arial"/>
          <w:iCs/>
          <w:sz w:val="18"/>
          <w:szCs w:val="18"/>
        </w:rPr>
        <w:t>“</w:t>
      </w:r>
      <w:r w:rsidRPr="00EF7341">
        <w:rPr>
          <w:rFonts w:ascii="Arial" w:hAnsi="Arial" w:cs="Arial"/>
          <w:bCs/>
          <w:iCs/>
          <w:sz w:val="18"/>
          <w:szCs w:val="18"/>
        </w:rPr>
        <w:t>Hostile Environment Sexual Harassment</w:t>
      </w:r>
      <w:r w:rsidRPr="00EF7341">
        <w:rPr>
          <w:rFonts w:ascii="Arial" w:hAnsi="Arial" w:cs="Arial"/>
          <w:iCs/>
          <w:sz w:val="18"/>
          <w:szCs w:val="18"/>
        </w:rPr>
        <w:t>” is unwelcome conduct determined by a reasonable person to be so severe, pervasive, and objectively offensive that it effectively denies a person access to the College’s education programs and activities.</w:t>
      </w:r>
    </w:p>
    <w:p w:rsidR="00E50A5A" w:rsidRPr="00EF7341" w:rsidRDefault="001A1FA9" w:rsidP="003E62B3">
      <w:pPr>
        <w:pStyle w:val="ListParagraph"/>
        <w:numPr>
          <w:ilvl w:val="0"/>
          <w:numId w:val="2"/>
        </w:numPr>
        <w:spacing w:after="0" w:line="240" w:lineRule="auto"/>
        <w:rPr>
          <w:rFonts w:ascii="Arial" w:hAnsi="Arial" w:cs="Arial"/>
          <w:sz w:val="18"/>
          <w:szCs w:val="18"/>
        </w:rPr>
      </w:pPr>
      <w:r w:rsidRPr="00EF7341">
        <w:rPr>
          <w:rFonts w:ascii="Arial" w:eastAsiaTheme="majorEastAsia" w:hAnsi="Arial" w:cs="Arial"/>
          <w:kern w:val="24"/>
          <w:position w:val="1"/>
          <w:sz w:val="18"/>
          <w:szCs w:val="18"/>
        </w:rPr>
        <w:t xml:space="preserve">Includes </w:t>
      </w:r>
      <w:r w:rsidR="00965C6C" w:rsidRPr="00EF7341">
        <w:rPr>
          <w:rFonts w:ascii="Arial" w:eastAsiaTheme="majorEastAsia" w:hAnsi="Arial" w:cs="Arial"/>
          <w:b/>
          <w:kern w:val="24"/>
          <w:position w:val="1"/>
          <w:sz w:val="18"/>
          <w:szCs w:val="18"/>
        </w:rPr>
        <w:t>Sexual A</w:t>
      </w:r>
      <w:r w:rsidRPr="00EF7341">
        <w:rPr>
          <w:rFonts w:ascii="Arial" w:eastAsiaTheme="majorEastAsia" w:hAnsi="Arial" w:cs="Arial"/>
          <w:b/>
          <w:kern w:val="24"/>
          <w:position w:val="1"/>
          <w:sz w:val="18"/>
          <w:szCs w:val="18"/>
        </w:rPr>
        <w:t>ssault:</w:t>
      </w:r>
    </w:p>
    <w:p w:rsidR="00E64262" w:rsidRPr="00EF7341" w:rsidRDefault="00E64262" w:rsidP="003E62B3">
      <w:pPr>
        <w:pStyle w:val="ListParagraph"/>
        <w:numPr>
          <w:ilvl w:val="1"/>
          <w:numId w:val="2"/>
        </w:numPr>
        <w:spacing w:after="0" w:line="240" w:lineRule="auto"/>
        <w:rPr>
          <w:rFonts w:ascii="Arial" w:hAnsi="Arial" w:cs="Arial"/>
          <w:sz w:val="18"/>
          <w:szCs w:val="18"/>
        </w:rPr>
      </w:pPr>
      <w:r w:rsidRPr="00EF7341">
        <w:rPr>
          <w:rFonts w:ascii="Arial" w:hAnsi="Arial" w:cs="Arial"/>
          <w:bCs/>
          <w:sz w:val="18"/>
          <w:szCs w:val="18"/>
        </w:rPr>
        <w:t>Sexual Assault</w:t>
      </w:r>
      <w:r w:rsidRPr="00EF7341">
        <w:rPr>
          <w:rFonts w:ascii="Arial" w:hAnsi="Arial" w:cs="Arial"/>
          <w:sz w:val="18"/>
          <w:szCs w:val="18"/>
        </w:rPr>
        <w:t>” includes the sex offenses of Rape, Sodomy, Sexual Assault with an Object, Fondling, Incest, and Statutory Rape</w:t>
      </w:r>
    </w:p>
    <w:p w:rsidR="00E64262" w:rsidRPr="00EF7341" w:rsidRDefault="001A1FA9" w:rsidP="003E62B3">
      <w:pPr>
        <w:pStyle w:val="ListParagraph"/>
        <w:numPr>
          <w:ilvl w:val="0"/>
          <w:numId w:val="2"/>
        </w:numPr>
        <w:spacing w:after="0" w:line="240" w:lineRule="auto"/>
        <w:rPr>
          <w:rFonts w:ascii="Arial" w:eastAsia="Times New Roman" w:hAnsi="Arial" w:cs="Arial"/>
          <w:sz w:val="18"/>
          <w:szCs w:val="18"/>
        </w:rPr>
      </w:pPr>
      <w:r w:rsidRPr="00EF7341">
        <w:rPr>
          <w:rFonts w:ascii="Arial" w:eastAsiaTheme="majorEastAsia" w:hAnsi="Arial" w:cs="Arial"/>
          <w:b/>
          <w:kern w:val="24"/>
          <w:position w:val="1"/>
          <w:sz w:val="18"/>
          <w:szCs w:val="18"/>
        </w:rPr>
        <w:t>Other forms of Sexual Harassment</w:t>
      </w:r>
      <w:r w:rsidRPr="00EF7341">
        <w:rPr>
          <w:rFonts w:ascii="Arial" w:eastAsiaTheme="majorEastAsia" w:hAnsi="Arial" w:cs="Arial"/>
          <w:kern w:val="24"/>
          <w:position w:val="1"/>
          <w:sz w:val="18"/>
          <w:szCs w:val="18"/>
        </w:rPr>
        <w:t xml:space="preserve">: </w:t>
      </w:r>
      <w:r w:rsidR="00E64262" w:rsidRPr="00EF7341">
        <w:rPr>
          <w:rFonts w:ascii="Arial" w:eastAsiaTheme="minorEastAsia" w:hAnsi="Arial" w:cs="Arial"/>
          <w:kern w:val="24"/>
          <w:sz w:val="18"/>
          <w:szCs w:val="18"/>
        </w:rPr>
        <w:t>Dating Violence, Domestic Violence, Stalking</w:t>
      </w:r>
    </w:p>
    <w:p w:rsidR="00521B0B" w:rsidRPr="00EF7341" w:rsidRDefault="00DD6D41" w:rsidP="003E62B3">
      <w:pPr>
        <w:pStyle w:val="ListParagraph"/>
        <w:numPr>
          <w:ilvl w:val="0"/>
          <w:numId w:val="2"/>
        </w:numPr>
        <w:spacing w:after="0" w:line="240" w:lineRule="auto"/>
        <w:rPr>
          <w:rFonts w:ascii="Arial" w:hAnsi="Arial" w:cs="Arial"/>
          <w:sz w:val="18"/>
          <w:szCs w:val="18"/>
        </w:rPr>
      </w:pPr>
      <w:r w:rsidRPr="00EF7341">
        <w:rPr>
          <w:rFonts w:ascii="Arial" w:hAnsi="Arial" w:cs="Arial"/>
          <w:b/>
          <w:sz w:val="18"/>
          <w:szCs w:val="18"/>
        </w:rPr>
        <w:t>Retaliation</w:t>
      </w:r>
      <w:r w:rsidR="00B742C6" w:rsidRPr="00EF7341">
        <w:rPr>
          <w:rFonts w:ascii="Arial" w:hAnsi="Arial" w:cs="Arial"/>
          <w:b/>
          <w:sz w:val="18"/>
          <w:szCs w:val="18"/>
        </w:rPr>
        <w:t>:</w:t>
      </w:r>
      <w:r w:rsidR="00B742C6" w:rsidRPr="00EF7341">
        <w:rPr>
          <w:rFonts w:ascii="Arial" w:hAnsi="Arial" w:cs="Arial"/>
          <w:sz w:val="18"/>
          <w:szCs w:val="18"/>
        </w:rPr>
        <w:t xml:space="preserve">  </w:t>
      </w:r>
      <w:r w:rsidR="00B742C6" w:rsidRPr="00EF7341">
        <w:rPr>
          <w:rFonts w:ascii="Arial" w:eastAsiaTheme="minorEastAsia" w:hAnsi="Arial" w:cs="Arial"/>
          <w:kern w:val="24"/>
          <w:position w:val="1"/>
          <w:sz w:val="18"/>
          <w:szCs w:val="18"/>
        </w:rPr>
        <w:t xml:space="preserve">It is a violation of this policy to engage in Retaliation.  Reports and Formal Complaints of retaliation may be made in the manner specified in Sections VIII and XV.  Any report or Formal Complaint of Retaliation will be processed under this policy in the same manner as a report or Formal Complaint of Sexual Harassment, as the case may be.  </w:t>
      </w:r>
    </w:p>
    <w:p w:rsidR="006A2E84" w:rsidRPr="00EF7341" w:rsidRDefault="00E54855" w:rsidP="003E62B3">
      <w:pPr>
        <w:pStyle w:val="ListParagraph"/>
        <w:numPr>
          <w:ilvl w:val="0"/>
          <w:numId w:val="2"/>
        </w:numPr>
        <w:spacing w:after="0" w:line="240" w:lineRule="auto"/>
        <w:rPr>
          <w:rFonts w:ascii="Arial" w:hAnsi="Arial" w:cs="Arial"/>
          <w:sz w:val="18"/>
          <w:szCs w:val="18"/>
        </w:rPr>
      </w:pPr>
      <w:r w:rsidRPr="00EF7341">
        <w:rPr>
          <w:rFonts w:ascii="Arial" w:eastAsiaTheme="majorEastAsia" w:hAnsi="Arial" w:cs="Arial"/>
          <w:b/>
          <w:kern w:val="24"/>
          <w:position w:val="1"/>
          <w:sz w:val="18"/>
          <w:szCs w:val="18"/>
        </w:rPr>
        <w:t>Confidentiality</w:t>
      </w:r>
      <w:r w:rsidRPr="00EF7341">
        <w:rPr>
          <w:rFonts w:ascii="Arial" w:eastAsiaTheme="majorEastAsia" w:hAnsi="Arial" w:cs="Arial"/>
          <w:kern w:val="24"/>
          <w:position w:val="1"/>
          <w:sz w:val="18"/>
          <w:szCs w:val="18"/>
        </w:rPr>
        <w:t xml:space="preserve">:  </w:t>
      </w:r>
      <w:r w:rsidRPr="00EF7341">
        <w:rPr>
          <w:rFonts w:ascii="Arial" w:hAnsi="Arial" w:cs="Arial"/>
          <w:kern w:val="24"/>
          <w:sz w:val="18"/>
          <w:szCs w:val="18"/>
        </w:rPr>
        <w:t>The College will keep confidential the identity of any individual who has made a report or Formal Complaint of Sexual Harassment or Retaliation including any Complainant, the identity of any individual who has been reported to be a perpetrator of Sexual Harassment or Retaliation including any Respondent, and the identity of any witness</w:t>
      </w:r>
    </w:p>
    <w:p w:rsidR="003E7A7A" w:rsidRPr="00EF7341" w:rsidRDefault="00E54855" w:rsidP="003E62B3">
      <w:pPr>
        <w:pStyle w:val="ListParagraph"/>
        <w:numPr>
          <w:ilvl w:val="0"/>
          <w:numId w:val="2"/>
        </w:numPr>
        <w:spacing w:after="0" w:line="240" w:lineRule="auto"/>
        <w:rPr>
          <w:rFonts w:ascii="Arial" w:hAnsi="Arial" w:cs="Arial"/>
          <w:sz w:val="18"/>
          <w:szCs w:val="18"/>
        </w:rPr>
      </w:pPr>
      <w:r w:rsidRPr="00EF7341">
        <w:rPr>
          <w:rFonts w:ascii="Arial" w:eastAsiaTheme="majorEastAsia" w:hAnsi="Arial" w:cs="Arial"/>
          <w:kern w:val="24"/>
          <w:position w:val="1"/>
          <w:sz w:val="18"/>
          <w:szCs w:val="18"/>
        </w:rPr>
        <w:t>Some changes in the August 14, 2020 regulation include:</w:t>
      </w:r>
    </w:p>
    <w:p w:rsidR="003E7A7A" w:rsidRPr="00EF7341" w:rsidRDefault="00FD4EDF" w:rsidP="003E62B3">
      <w:pPr>
        <w:pStyle w:val="ListParagraph"/>
        <w:numPr>
          <w:ilvl w:val="1"/>
          <w:numId w:val="2"/>
        </w:numPr>
        <w:spacing w:after="0" w:line="240" w:lineRule="auto"/>
        <w:rPr>
          <w:rFonts w:ascii="Arial" w:hAnsi="Arial" w:cs="Arial"/>
          <w:b/>
          <w:sz w:val="18"/>
          <w:szCs w:val="18"/>
        </w:rPr>
      </w:pPr>
      <w:r w:rsidRPr="00EF7341">
        <w:rPr>
          <w:rFonts w:ascii="Arial" w:hAnsi="Arial" w:cs="Arial"/>
          <w:b/>
          <w:sz w:val="18"/>
          <w:szCs w:val="18"/>
        </w:rPr>
        <w:t>SCOPE:</w:t>
      </w:r>
      <w:r w:rsidRPr="00EF7341">
        <w:rPr>
          <w:rFonts w:ascii="Arial" w:hAnsi="Arial" w:cs="Arial"/>
          <w:sz w:val="18"/>
          <w:szCs w:val="18"/>
        </w:rPr>
        <w:t xml:space="preserve">  This policy applies to Sexual Harassment that occurs </w:t>
      </w:r>
      <w:r w:rsidRPr="00EF7341">
        <w:rPr>
          <w:rFonts w:ascii="Arial" w:hAnsi="Arial" w:cs="Arial"/>
          <w:b/>
          <w:sz w:val="18"/>
          <w:szCs w:val="18"/>
        </w:rPr>
        <w:t xml:space="preserve">within the College’s Education Programs and Activities and that is committed by an administrator, faculty member, staff, student, contractor, guest, or other member of the College community.  </w:t>
      </w:r>
    </w:p>
    <w:p w:rsidR="00E54855" w:rsidRPr="00EF7341" w:rsidRDefault="00E54855" w:rsidP="003E62B3">
      <w:pPr>
        <w:pStyle w:val="ListParagraph"/>
        <w:numPr>
          <w:ilvl w:val="1"/>
          <w:numId w:val="2"/>
        </w:numPr>
        <w:spacing w:after="0" w:line="240" w:lineRule="auto"/>
        <w:rPr>
          <w:rFonts w:ascii="Arial" w:hAnsi="Arial" w:cs="Arial"/>
          <w:sz w:val="18"/>
          <w:szCs w:val="18"/>
        </w:rPr>
      </w:pPr>
      <w:r w:rsidRPr="00EF7341">
        <w:rPr>
          <w:rFonts w:ascii="Arial" w:hAnsi="Arial" w:cs="Arial"/>
          <w:sz w:val="18"/>
          <w:szCs w:val="18"/>
        </w:rPr>
        <w:t>This policy does not apply to Sexual Harassment that occurs off-campus, in a private setting, and outside the scope of the College’s Education Programs and Activities; such sexual misconduct may be prohibited by the Student Code of Conduct if committed by a student, the Faculty Handbook if committed by a faculty member, or other College policies and standards if committed by an employee</w:t>
      </w:r>
    </w:p>
    <w:p w:rsidR="00FD4EDF" w:rsidRPr="00EF7341" w:rsidRDefault="002A6D0B" w:rsidP="003E62B3">
      <w:pPr>
        <w:pStyle w:val="ListParagraph"/>
        <w:numPr>
          <w:ilvl w:val="0"/>
          <w:numId w:val="8"/>
        </w:numPr>
        <w:spacing w:after="0" w:line="240" w:lineRule="auto"/>
        <w:rPr>
          <w:rFonts w:ascii="Arial" w:eastAsia="Times New Roman" w:hAnsi="Arial" w:cs="Arial"/>
          <w:sz w:val="18"/>
          <w:szCs w:val="18"/>
        </w:rPr>
      </w:pPr>
      <w:r w:rsidRPr="00EF7341">
        <w:rPr>
          <w:rFonts w:ascii="Arial" w:eastAsiaTheme="minorEastAsia" w:hAnsi="Arial" w:cs="Arial"/>
          <w:kern w:val="24"/>
          <w:sz w:val="18"/>
          <w:szCs w:val="18"/>
        </w:rPr>
        <w:t xml:space="preserve">Consistent with the U.S. Department of Education’s implementing regulations for Title IX, </w:t>
      </w:r>
      <w:r w:rsidRPr="00EF7341">
        <w:rPr>
          <w:rFonts w:ascii="Arial" w:eastAsiaTheme="minorEastAsia" w:hAnsi="Arial" w:cs="Arial"/>
          <w:b/>
          <w:bCs/>
          <w:kern w:val="24"/>
          <w:sz w:val="18"/>
          <w:szCs w:val="18"/>
        </w:rPr>
        <w:t>this policy does not apply to Sexual Harassment that occurs outside the geographic boundaries of the United States</w:t>
      </w:r>
      <w:r w:rsidRPr="00EF7341">
        <w:rPr>
          <w:rFonts w:ascii="Arial" w:eastAsiaTheme="minorEastAsia" w:hAnsi="Arial" w:cs="Arial"/>
          <w:kern w:val="24"/>
          <w:sz w:val="18"/>
          <w:szCs w:val="18"/>
        </w:rPr>
        <w:t>, even if the Sexual Harassment occurs in the College’s Education Programs and Activities, such as a study abroad program.  Sexual Harassment that occurs outside the geographic boundaries of the United States is governed by the Student Code of Conduct if committed by a student, the Faculty Handbook if committed by a faculty member, or other College policies and standards if committed by an employee.</w:t>
      </w:r>
    </w:p>
    <w:p w:rsidR="002A6D0B" w:rsidRPr="00EF7341" w:rsidRDefault="00965C6C" w:rsidP="003E62B3">
      <w:pPr>
        <w:pStyle w:val="ListParagraph"/>
        <w:numPr>
          <w:ilvl w:val="0"/>
          <w:numId w:val="8"/>
        </w:numPr>
        <w:spacing w:after="0" w:line="240" w:lineRule="auto"/>
        <w:rPr>
          <w:rFonts w:ascii="Arial" w:eastAsia="Times New Roman" w:hAnsi="Arial" w:cs="Arial"/>
          <w:b/>
          <w:sz w:val="18"/>
          <w:szCs w:val="18"/>
        </w:rPr>
      </w:pPr>
      <w:r w:rsidRPr="00EF7341">
        <w:rPr>
          <w:rFonts w:ascii="Arial" w:eastAsiaTheme="minorEastAsia" w:hAnsi="Arial" w:cs="Arial"/>
          <w:kern w:val="24"/>
          <w:sz w:val="18"/>
          <w:szCs w:val="18"/>
        </w:rPr>
        <w:t xml:space="preserve">Sexual harassment </w:t>
      </w:r>
      <w:r w:rsidR="002A6D0B" w:rsidRPr="00EF7341">
        <w:rPr>
          <w:rFonts w:ascii="Arial" w:eastAsiaTheme="minorEastAsia" w:hAnsi="Arial" w:cs="Arial"/>
          <w:kern w:val="24"/>
          <w:sz w:val="18"/>
          <w:szCs w:val="18"/>
        </w:rPr>
        <w:t xml:space="preserve">applies to all </w:t>
      </w:r>
      <w:r w:rsidR="002A6D0B" w:rsidRPr="00EF7341">
        <w:rPr>
          <w:rFonts w:ascii="Arial" w:eastAsiaTheme="minorEastAsia" w:hAnsi="Arial" w:cs="Arial"/>
          <w:b/>
          <w:bCs/>
          <w:kern w:val="24"/>
          <w:sz w:val="18"/>
          <w:szCs w:val="18"/>
        </w:rPr>
        <w:t>activity that occurs on campus or on other property owned or occupied by the College</w:t>
      </w:r>
      <w:r w:rsidR="002A6D0B" w:rsidRPr="00EF7341">
        <w:rPr>
          <w:rFonts w:ascii="Arial" w:eastAsiaTheme="minorEastAsia" w:hAnsi="Arial" w:cs="Arial"/>
          <w:kern w:val="24"/>
          <w:sz w:val="18"/>
          <w:szCs w:val="18"/>
        </w:rPr>
        <w:t xml:space="preserve">.  </w:t>
      </w:r>
      <w:r w:rsidR="002A6D0B" w:rsidRPr="00EF7341">
        <w:rPr>
          <w:rFonts w:ascii="Arial" w:eastAsiaTheme="minorEastAsia" w:hAnsi="Arial" w:cs="Arial"/>
          <w:b/>
          <w:kern w:val="24"/>
          <w:sz w:val="18"/>
          <w:szCs w:val="18"/>
        </w:rPr>
        <w:t>It also includes off-campus locations, events, or circumstances over which the College exercises substantial control over the Respondent and the context in which the Sexual Harassment occurs, including Sexual Harassment occurring in any building owned or controlled by a student organization that is officially recognized by the College</w:t>
      </w:r>
    </w:p>
    <w:p w:rsidR="002A6D0B" w:rsidRPr="00EF7341" w:rsidRDefault="002A6D0B" w:rsidP="003E62B3">
      <w:pPr>
        <w:spacing w:after="0" w:line="240" w:lineRule="auto"/>
        <w:rPr>
          <w:rFonts w:ascii="Arial" w:hAnsi="Arial" w:cs="Arial"/>
          <w:sz w:val="18"/>
          <w:szCs w:val="18"/>
        </w:rPr>
      </w:pPr>
    </w:p>
    <w:p w:rsidR="00965C6C" w:rsidRPr="00C83586" w:rsidRDefault="00965C6C" w:rsidP="00146EF8">
      <w:pPr>
        <w:spacing w:after="0" w:line="240" w:lineRule="auto"/>
        <w:rPr>
          <w:rFonts w:ascii="Arial" w:hAnsi="Arial" w:cs="Arial"/>
          <w:b/>
          <w:sz w:val="18"/>
          <w:szCs w:val="18"/>
        </w:rPr>
      </w:pPr>
      <w:r w:rsidRPr="00EF7341">
        <w:rPr>
          <w:rFonts w:ascii="Arial" w:hAnsi="Arial" w:cs="Arial"/>
          <w:sz w:val="18"/>
          <w:szCs w:val="18"/>
        </w:rPr>
        <w:t xml:space="preserve">If you have been a victim or a member of our college community has informed you of </w:t>
      </w:r>
      <w:r w:rsidR="00146EF8">
        <w:rPr>
          <w:rFonts w:ascii="Arial" w:hAnsi="Arial" w:cs="Arial"/>
          <w:sz w:val="18"/>
          <w:szCs w:val="18"/>
        </w:rPr>
        <w:t xml:space="preserve">a situation as described above, </w:t>
      </w:r>
      <w:r w:rsidR="00AD46D8" w:rsidRPr="00C83586">
        <w:rPr>
          <w:rFonts w:ascii="Arial" w:hAnsi="Arial" w:cs="Arial"/>
          <w:b/>
          <w:sz w:val="18"/>
          <w:szCs w:val="18"/>
        </w:rPr>
        <w:t xml:space="preserve">immediately </w:t>
      </w:r>
      <w:r w:rsidRPr="00C83586">
        <w:rPr>
          <w:rFonts w:ascii="Arial" w:hAnsi="Arial" w:cs="Arial"/>
          <w:b/>
          <w:sz w:val="18"/>
          <w:szCs w:val="18"/>
        </w:rPr>
        <w:t>contact a member of our Title IX team:</w:t>
      </w:r>
    </w:p>
    <w:p w:rsidR="00146EF8" w:rsidRPr="00227EE5" w:rsidRDefault="00146EF8" w:rsidP="002C3C87">
      <w:pPr>
        <w:spacing w:after="0" w:line="240" w:lineRule="auto"/>
        <w:jc w:val="center"/>
        <w:rPr>
          <w:rFonts w:ascii="Arial" w:hAnsi="Arial" w:cs="Arial"/>
          <w:b/>
          <w:sz w:val="18"/>
          <w:szCs w:val="18"/>
        </w:rPr>
      </w:pPr>
      <w:r w:rsidRPr="00227EE5">
        <w:rPr>
          <w:rFonts w:ascii="Arial" w:hAnsi="Arial" w:cs="Arial"/>
          <w:b/>
          <w:sz w:val="18"/>
          <w:szCs w:val="18"/>
        </w:rPr>
        <w:t xml:space="preserve">Dan Falk, Title IX Coordinator (620) 242-0503 </w:t>
      </w:r>
      <w:hyperlink r:id="rId7" w:history="1">
        <w:r w:rsidRPr="00227EE5">
          <w:rPr>
            <w:rStyle w:val="Hyperlink"/>
            <w:rFonts w:ascii="Arial" w:hAnsi="Arial" w:cs="Arial"/>
            <w:b/>
            <w:sz w:val="18"/>
            <w:szCs w:val="18"/>
          </w:rPr>
          <w:t>falkd@mcpherson.edu</w:t>
        </w:r>
      </w:hyperlink>
    </w:p>
    <w:p w:rsidR="00146EF8" w:rsidRPr="00227EE5" w:rsidRDefault="00146EF8" w:rsidP="002C3C87">
      <w:pPr>
        <w:spacing w:after="0" w:line="240" w:lineRule="auto"/>
        <w:jc w:val="center"/>
        <w:rPr>
          <w:rFonts w:ascii="Arial" w:hAnsi="Arial" w:cs="Arial"/>
          <w:b/>
          <w:sz w:val="18"/>
          <w:szCs w:val="18"/>
        </w:rPr>
      </w:pPr>
      <w:bookmarkStart w:id="0" w:name="_GoBack"/>
      <w:bookmarkEnd w:id="0"/>
      <w:r w:rsidRPr="00227EE5">
        <w:rPr>
          <w:rFonts w:ascii="Arial" w:hAnsi="Arial" w:cs="Arial"/>
          <w:b/>
          <w:sz w:val="18"/>
          <w:szCs w:val="18"/>
        </w:rPr>
        <w:t xml:space="preserve">Matt Skillen (620) 242-0506 </w:t>
      </w:r>
      <w:hyperlink r:id="rId8" w:history="1">
        <w:r w:rsidRPr="00227EE5">
          <w:rPr>
            <w:rStyle w:val="Hyperlink"/>
            <w:rFonts w:ascii="Arial" w:hAnsi="Arial" w:cs="Arial"/>
            <w:b/>
            <w:sz w:val="18"/>
            <w:szCs w:val="18"/>
          </w:rPr>
          <w:t>skillenm@mcpherson.edu</w:t>
        </w:r>
      </w:hyperlink>
    </w:p>
    <w:p w:rsidR="00965C6C" w:rsidRPr="00C83586" w:rsidRDefault="00965C6C" w:rsidP="00C83586">
      <w:pPr>
        <w:spacing w:after="0" w:line="240" w:lineRule="auto"/>
        <w:jc w:val="center"/>
        <w:rPr>
          <w:rFonts w:ascii="Arial" w:hAnsi="Arial" w:cs="Arial"/>
          <w:sz w:val="18"/>
          <w:szCs w:val="18"/>
        </w:rPr>
      </w:pPr>
    </w:p>
    <w:sectPr w:rsidR="00965C6C" w:rsidRPr="00C835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E5" w:rsidRDefault="00227EE5" w:rsidP="00227EE5">
      <w:pPr>
        <w:spacing w:after="0" w:line="240" w:lineRule="auto"/>
      </w:pPr>
      <w:r>
        <w:separator/>
      </w:r>
    </w:p>
  </w:endnote>
  <w:endnote w:type="continuationSeparator" w:id="0">
    <w:p w:rsidR="00227EE5" w:rsidRDefault="00227EE5" w:rsidP="0022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07904"/>
      <w:docPartObj>
        <w:docPartGallery w:val="Page Numbers (Bottom of Page)"/>
        <w:docPartUnique/>
      </w:docPartObj>
    </w:sdtPr>
    <w:sdtEndPr>
      <w:rPr>
        <w:noProof/>
      </w:rPr>
    </w:sdtEndPr>
    <w:sdtContent>
      <w:p w:rsidR="00227EE5" w:rsidRDefault="00227EE5">
        <w:pPr>
          <w:pStyle w:val="Footer"/>
          <w:jc w:val="center"/>
        </w:pPr>
        <w:r>
          <w:fldChar w:fldCharType="begin"/>
        </w:r>
        <w:r>
          <w:instrText xml:space="preserve"> PAGE   \* MERGEFORMAT </w:instrText>
        </w:r>
        <w:r>
          <w:fldChar w:fldCharType="separate"/>
        </w:r>
        <w:r w:rsidR="002C3C87">
          <w:rPr>
            <w:noProof/>
          </w:rPr>
          <w:t>1</w:t>
        </w:r>
        <w:r>
          <w:rPr>
            <w:noProof/>
          </w:rPr>
          <w:fldChar w:fldCharType="end"/>
        </w:r>
      </w:p>
    </w:sdtContent>
  </w:sdt>
  <w:p w:rsidR="00227EE5" w:rsidRDefault="00227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E5" w:rsidRDefault="00227EE5" w:rsidP="00227EE5">
      <w:pPr>
        <w:spacing w:after="0" w:line="240" w:lineRule="auto"/>
      </w:pPr>
      <w:r>
        <w:separator/>
      </w:r>
    </w:p>
  </w:footnote>
  <w:footnote w:type="continuationSeparator" w:id="0">
    <w:p w:rsidR="00227EE5" w:rsidRDefault="00227EE5" w:rsidP="00227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DD7"/>
    <w:multiLevelType w:val="hybridMultilevel"/>
    <w:tmpl w:val="3E40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3292"/>
    <w:multiLevelType w:val="hybridMultilevel"/>
    <w:tmpl w:val="8C5E9870"/>
    <w:lvl w:ilvl="0" w:tplc="AE940CF8">
      <w:start w:val="1"/>
      <w:numFmt w:val="bullet"/>
      <w:lvlText w:val="■"/>
      <w:lvlJc w:val="left"/>
      <w:pPr>
        <w:tabs>
          <w:tab w:val="num" w:pos="720"/>
        </w:tabs>
        <w:ind w:left="720" w:hanging="360"/>
      </w:pPr>
      <w:rPr>
        <w:rFonts w:ascii="Franklin Gothic Book" w:hAnsi="Franklin Gothic Book" w:hint="default"/>
      </w:rPr>
    </w:lvl>
    <w:lvl w:ilvl="1" w:tplc="D6121ED6" w:tentative="1">
      <w:start w:val="1"/>
      <w:numFmt w:val="bullet"/>
      <w:lvlText w:val="■"/>
      <w:lvlJc w:val="left"/>
      <w:pPr>
        <w:tabs>
          <w:tab w:val="num" w:pos="1440"/>
        </w:tabs>
        <w:ind w:left="1440" w:hanging="360"/>
      </w:pPr>
      <w:rPr>
        <w:rFonts w:ascii="Franklin Gothic Book" w:hAnsi="Franklin Gothic Book" w:hint="default"/>
      </w:rPr>
    </w:lvl>
    <w:lvl w:ilvl="2" w:tplc="3A5059D4" w:tentative="1">
      <w:start w:val="1"/>
      <w:numFmt w:val="bullet"/>
      <w:lvlText w:val="■"/>
      <w:lvlJc w:val="left"/>
      <w:pPr>
        <w:tabs>
          <w:tab w:val="num" w:pos="2160"/>
        </w:tabs>
        <w:ind w:left="2160" w:hanging="360"/>
      </w:pPr>
      <w:rPr>
        <w:rFonts w:ascii="Franklin Gothic Book" w:hAnsi="Franklin Gothic Book" w:hint="default"/>
      </w:rPr>
    </w:lvl>
    <w:lvl w:ilvl="3" w:tplc="99B89D32" w:tentative="1">
      <w:start w:val="1"/>
      <w:numFmt w:val="bullet"/>
      <w:lvlText w:val="■"/>
      <w:lvlJc w:val="left"/>
      <w:pPr>
        <w:tabs>
          <w:tab w:val="num" w:pos="2880"/>
        </w:tabs>
        <w:ind w:left="2880" w:hanging="360"/>
      </w:pPr>
      <w:rPr>
        <w:rFonts w:ascii="Franklin Gothic Book" w:hAnsi="Franklin Gothic Book" w:hint="default"/>
      </w:rPr>
    </w:lvl>
    <w:lvl w:ilvl="4" w:tplc="FD8ED0D2" w:tentative="1">
      <w:start w:val="1"/>
      <w:numFmt w:val="bullet"/>
      <w:lvlText w:val="■"/>
      <w:lvlJc w:val="left"/>
      <w:pPr>
        <w:tabs>
          <w:tab w:val="num" w:pos="3600"/>
        </w:tabs>
        <w:ind w:left="3600" w:hanging="360"/>
      </w:pPr>
      <w:rPr>
        <w:rFonts w:ascii="Franklin Gothic Book" w:hAnsi="Franklin Gothic Book" w:hint="default"/>
      </w:rPr>
    </w:lvl>
    <w:lvl w:ilvl="5" w:tplc="8BDCEE2C" w:tentative="1">
      <w:start w:val="1"/>
      <w:numFmt w:val="bullet"/>
      <w:lvlText w:val="■"/>
      <w:lvlJc w:val="left"/>
      <w:pPr>
        <w:tabs>
          <w:tab w:val="num" w:pos="4320"/>
        </w:tabs>
        <w:ind w:left="4320" w:hanging="360"/>
      </w:pPr>
      <w:rPr>
        <w:rFonts w:ascii="Franklin Gothic Book" w:hAnsi="Franklin Gothic Book" w:hint="default"/>
      </w:rPr>
    </w:lvl>
    <w:lvl w:ilvl="6" w:tplc="C4C8EA5E" w:tentative="1">
      <w:start w:val="1"/>
      <w:numFmt w:val="bullet"/>
      <w:lvlText w:val="■"/>
      <w:lvlJc w:val="left"/>
      <w:pPr>
        <w:tabs>
          <w:tab w:val="num" w:pos="5040"/>
        </w:tabs>
        <w:ind w:left="5040" w:hanging="360"/>
      </w:pPr>
      <w:rPr>
        <w:rFonts w:ascii="Franklin Gothic Book" w:hAnsi="Franklin Gothic Book" w:hint="default"/>
      </w:rPr>
    </w:lvl>
    <w:lvl w:ilvl="7" w:tplc="C0AE531C" w:tentative="1">
      <w:start w:val="1"/>
      <w:numFmt w:val="bullet"/>
      <w:lvlText w:val="■"/>
      <w:lvlJc w:val="left"/>
      <w:pPr>
        <w:tabs>
          <w:tab w:val="num" w:pos="5760"/>
        </w:tabs>
        <w:ind w:left="5760" w:hanging="360"/>
      </w:pPr>
      <w:rPr>
        <w:rFonts w:ascii="Franklin Gothic Book" w:hAnsi="Franklin Gothic Book" w:hint="default"/>
      </w:rPr>
    </w:lvl>
    <w:lvl w:ilvl="8" w:tplc="C30068F6"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18B46AE4"/>
    <w:multiLevelType w:val="hybridMultilevel"/>
    <w:tmpl w:val="FBA0F31C"/>
    <w:lvl w:ilvl="0" w:tplc="1FFA003A">
      <w:start w:val="1"/>
      <w:numFmt w:val="bullet"/>
      <w:lvlText w:val="■"/>
      <w:lvlJc w:val="left"/>
      <w:pPr>
        <w:tabs>
          <w:tab w:val="num" w:pos="720"/>
        </w:tabs>
        <w:ind w:left="720" w:hanging="360"/>
      </w:pPr>
      <w:rPr>
        <w:rFonts w:ascii="Franklin Gothic Book" w:hAnsi="Franklin Gothic Book" w:hint="default"/>
      </w:rPr>
    </w:lvl>
    <w:lvl w:ilvl="1" w:tplc="EA127C0A" w:tentative="1">
      <w:start w:val="1"/>
      <w:numFmt w:val="bullet"/>
      <w:lvlText w:val="■"/>
      <w:lvlJc w:val="left"/>
      <w:pPr>
        <w:tabs>
          <w:tab w:val="num" w:pos="1440"/>
        </w:tabs>
        <w:ind w:left="1440" w:hanging="360"/>
      </w:pPr>
      <w:rPr>
        <w:rFonts w:ascii="Franklin Gothic Book" w:hAnsi="Franklin Gothic Book" w:hint="default"/>
      </w:rPr>
    </w:lvl>
    <w:lvl w:ilvl="2" w:tplc="17DEFACA" w:tentative="1">
      <w:start w:val="1"/>
      <w:numFmt w:val="bullet"/>
      <w:lvlText w:val="■"/>
      <w:lvlJc w:val="left"/>
      <w:pPr>
        <w:tabs>
          <w:tab w:val="num" w:pos="2160"/>
        </w:tabs>
        <w:ind w:left="2160" w:hanging="360"/>
      </w:pPr>
      <w:rPr>
        <w:rFonts w:ascii="Franklin Gothic Book" w:hAnsi="Franklin Gothic Book" w:hint="default"/>
      </w:rPr>
    </w:lvl>
    <w:lvl w:ilvl="3" w:tplc="BB461B4C" w:tentative="1">
      <w:start w:val="1"/>
      <w:numFmt w:val="bullet"/>
      <w:lvlText w:val="■"/>
      <w:lvlJc w:val="left"/>
      <w:pPr>
        <w:tabs>
          <w:tab w:val="num" w:pos="2880"/>
        </w:tabs>
        <w:ind w:left="2880" w:hanging="360"/>
      </w:pPr>
      <w:rPr>
        <w:rFonts w:ascii="Franklin Gothic Book" w:hAnsi="Franklin Gothic Book" w:hint="default"/>
      </w:rPr>
    </w:lvl>
    <w:lvl w:ilvl="4" w:tplc="B436232A" w:tentative="1">
      <w:start w:val="1"/>
      <w:numFmt w:val="bullet"/>
      <w:lvlText w:val="■"/>
      <w:lvlJc w:val="left"/>
      <w:pPr>
        <w:tabs>
          <w:tab w:val="num" w:pos="3600"/>
        </w:tabs>
        <w:ind w:left="3600" w:hanging="360"/>
      </w:pPr>
      <w:rPr>
        <w:rFonts w:ascii="Franklin Gothic Book" w:hAnsi="Franklin Gothic Book" w:hint="default"/>
      </w:rPr>
    </w:lvl>
    <w:lvl w:ilvl="5" w:tplc="6B88C5CE" w:tentative="1">
      <w:start w:val="1"/>
      <w:numFmt w:val="bullet"/>
      <w:lvlText w:val="■"/>
      <w:lvlJc w:val="left"/>
      <w:pPr>
        <w:tabs>
          <w:tab w:val="num" w:pos="4320"/>
        </w:tabs>
        <w:ind w:left="4320" w:hanging="360"/>
      </w:pPr>
      <w:rPr>
        <w:rFonts w:ascii="Franklin Gothic Book" w:hAnsi="Franklin Gothic Book" w:hint="default"/>
      </w:rPr>
    </w:lvl>
    <w:lvl w:ilvl="6" w:tplc="EDA21458" w:tentative="1">
      <w:start w:val="1"/>
      <w:numFmt w:val="bullet"/>
      <w:lvlText w:val="■"/>
      <w:lvlJc w:val="left"/>
      <w:pPr>
        <w:tabs>
          <w:tab w:val="num" w:pos="5040"/>
        </w:tabs>
        <w:ind w:left="5040" w:hanging="360"/>
      </w:pPr>
      <w:rPr>
        <w:rFonts w:ascii="Franklin Gothic Book" w:hAnsi="Franklin Gothic Book" w:hint="default"/>
      </w:rPr>
    </w:lvl>
    <w:lvl w:ilvl="7" w:tplc="CB7CD3BA" w:tentative="1">
      <w:start w:val="1"/>
      <w:numFmt w:val="bullet"/>
      <w:lvlText w:val="■"/>
      <w:lvlJc w:val="left"/>
      <w:pPr>
        <w:tabs>
          <w:tab w:val="num" w:pos="5760"/>
        </w:tabs>
        <w:ind w:left="5760" w:hanging="360"/>
      </w:pPr>
      <w:rPr>
        <w:rFonts w:ascii="Franklin Gothic Book" w:hAnsi="Franklin Gothic Book" w:hint="default"/>
      </w:rPr>
    </w:lvl>
    <w:lvl w:ilvl="8" w:tplc="3962D4E2"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25323461"/>
    <w:multiLevelType w:val="hybridMultilevel"/>
    <w:tmpl w:val="668C8E64"/>
    <w:lvl w:ilvl="0" w:tplc="2FE2548E">
      <w:start w:val="1"/>
      <w:numFmt w:val="bullet"/>
      <w:lvlText w:val="■"/>
      <w:lvlJc w:val="left"/>
      <w:pPr>
        <w:tabs>
          <w:tab w:val="num" w:pos="720"/>
        </w:tabs>
        <w:ind w:left="720" w:hanging="360"/>
      </w:pPr>
      <w:rPr>
        <w:rFonts w:ascii="Franklin Gothic Book" w:hAnsi="Franklin Gothic Book" w:hint="default"/>
      </w:rPr>
    </w:lvl>
    <w:lvl w:ilvl="1" w:tplc="55200F74" w:tentative="1">
      <w:start w:val="1"/>
      <w:numFmt w:val="bullet"/>
      <w:lvlText w:val="■"/>
      <w:lvlJc w:val="left"/>
      <w:pPr>
        <w:tabs>
          <w:tab w:val="num" w:pos="1440"/>
        </w:tabs>
        <w:ind w:left="1440" w:hanging="360"/>
      </w:pPr>
      <w:rPr>
        <w:rFonts w:ascii="Franklin Gothic Book" w:hAnsi="Franklin Gothic Book" w:hint="default"/>
      </w:rPr>
    </w:lvl>
    <w:lvl w:ilvl="2" w:tplc="4C943EC4" w:tentative="1">
      <w:start w:val="1"/>
      <w:numFmt w:val="bullet"/>
      <w:lvlText w:val="■"/>
      <w:lvlJc w:val="left"/>
      <w:pPr>
        <w:tabs>
          <w:tab w:val="num" w:pos="2160"/>
        </w:tabs>
        <w:ind w:left="2160" w:hanging="360"/>
      </w:pPr>
      <w:rPr>
        <w:rFonts w:ascii="Franklin Gothic Book" w:hAnsi="Franklin Gothic Book" w:hint="default"/>
      </w:rPr>
    </w:lvl>
    <w:lvl w:ilvl="3" w:tplc="342AA3E6" w:tentative="1">
      <w:start w:val="1"/>
      <w:numFmt w:val="bullet"/>
      <w:lvlText w:val="■"/>
      <w:lvlJc w:val="left"/>
      <w:pPr>
        <w:tabs>
          <w:tab w:val="num" w:pos="2880"/>
        </w:tabs>
        <w:ind w:left="2880" w:hanging="360"/>
      </w:pPr>
      <w:rPr>
        <w:rFonts w:ascii="Franklin Gothic Book" w:hAnsi="Franklin Gothic Book" w:hint="default"/>
      </w:rPr>
    </w:lvl>
    <w:lvl w:ilvl="4" w:tplc="54F49700" w:tentative="1">
      <w:start w:val="1"/>
      <w:numFmt w:val="bullet"/>
      <w:lvlText w:val="■"/>
      <w:lvlJc w:val="left"/>
      <w:pPr>
        <w:tabs>
          <w:tab w:val="num" w:pos="3600"/>
        </w:tabs>
        <w:ind w:left="3600" w:hanging="360"/>
      </w:pPr>
      <w:rPr>
        <w:rFonts w:ascii="Franklin Gothic Book" w:hAnsi="Franklin Gothic Book" w:hint="default"/>
      </w:rPr>
    </w:lvl>
    <w:lvl w:ilvl="5" w:tplc="89364A00" w:tentative="1">
      <w:start w:val="1"/>
      <w:numFmt w:val="bullet"/>
      <w:lvlText w:val="■"/>
      <w:lvlJc w:val="left"/>
      <w:pPr>
        <w:tabs>
          <w:tab w:val="num" w:pos="4320"/>
        </w:tabs>
        <w:ind w:left="4320" w:hanging="360"/>
      </w:pPr>
      <w:rPr>
        <w:rFonts w:ascii="Franklin Gothic Book" w:hAnsi="Franklin Gothic Book" w:hint="default"/>
      </w:rPr>
    </w:lvl>
    <w:lvl w:ilvl="6" w:tplc="54E0A014" w:tentative="1">
      <w:start w:val="1"/>
      <w:numFmt w:val="bullet"/>
      <w:lvlText w:val="■"/>
      <w:lvlJc w:val="left"/>
      <w:pPr>
        <w:tabs>
          <w:tab w:val="num" w:pos="5040"/>
        </w:tabs>
        <w:ind w:left="5040" w:hanging="360"/>
      </w:pPr>
      <w:rPr>
        <w:rFonts w:ascii="Franklin Gothic Book" w:hAnsi="Franklin Gothic Book" w:hint="default"/>
      </w:rPr>
    </w:lvl>
    <w:lvl w:ilvl="7" w:tplc="940C1EA6" w:tentative="1">
      <w:start w:val="1"/>
      <w:numFmt w:val="bullet"/>
      <w:lvlText w:val="■"/>
      <w:lvlJc w:val="left"/>
      <w:pPr>
        <w:tabs>
          <w:tab w:val="num" w:pos="5760"/>
        </w:tabs>
        <w:ind w:left="5760" w:hanging="360"/>
      </w:pPr>
      <w:rPr>
        <w:rFonts w:ascii="Franklin Gothic Book" w:hAnsi="Franklin Gothic Book" w:hint="default"/>
      </w:rPr>
    </w:lvl>
    <w:lvl w:ilvl="8" w:tplc="16C4B87C"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5843556E"/>
    <w:multiLevelType w:val="hybridMultilevel"/>
    <w:tmpl w:val="530EB034"/>
    <w:lvl w:ilvl="0" w:tplc="27EE2928">
      <w:start w:val="1"/>
      <w:numFmt w:val="bullet"/>
      <w:lvlText w:val="–"/>
      <w:lvlJc w:val="left"/>
      <w:pPr>
        <w:tabs>
          <w:tab w:val="num" w:pos="720"/>
        </w:tabs>
        <w:ind w:left="720" w:hanging="360"/>
      </w:pPr>
      <w:rPr>
        <w:rFonts w:ascii="Franklin Gothic Book" w:hAnsi="Franklin Gothic Book" w:hint="default"/>
      </w:rPr>
    </w:lvl>
    <w:lvl w:ilvl="1" w:tplc="496E5AEA">
      <w:start w:val="1"/>
      <w:numFmt w:val="bullet"/>
      <w:lvlText w:val="–"/>
      <w:lvlJc w:val="left"/>
      <w:pPr>
        <w:tabs>
          <w:tab w:val="num" w:pos="1440"/>
        </w:tabs>
        <w:ind w:left="1440" w:hanging="360"/>
      </w:pPr>
      <w:rPr>
        <w:rFonts w:ascii="Franklin Gothic Book" w:hAnsi="Franklin Gothic Book" w:hint="default"/>
      </w:rPr>
    </w:lvl>
    <w:lvl w:ilvl="2" w:tplc="35DEDAB4" w:tentative="1">
      <w:start w:val="1"/>
      <w:numFmt w:val="bullet"/>
      <w:lvlText w:val="–"/>
      <w:lvlJc w:val="left"/>
      <w:pPr>
        <w:tabs>
          <w:tab w:val="num" w:pos="2160"/>
        </w:tabs>
        <w:ind w:left="2160" w:hanging="360"/>
      </w:pPr>
      <w:rPr>
        <w:rFonts w:ascii="Franklin Gothic Book" w:hAnsi="Franklin Gothic Book" w:hint="default"/>
      </w:rPr>
    </w:lvl>
    <w:lvl w:ilvl="3" w:tplc="BF88758C" w:tentative="1">
      <w:start w:val="1"/>
      <w:numFmt w:val="bullet"/>
      <w:lvlText w:val="–"/>
      <w:lvlJc w:val="left"/>
      <w:pPr>
        <w:tabs>
          <w:tab w:val="num" w:pos="2880"/>
        </w:tabs>
        <w:ind w:left="2880" w:hanging="360"/>
      </w:pPr>
      <w:rPr>
        <w:rFonts w:ascii="Franklin Gothic Book" w:hAnsi="Franklin Gothic Book" w:hint="default"/>
      </w:rPr>
    </w:lvl>
    <w:lvl w:ilvl="4" w:tplc="0B5410D4" w:tentative="1">
      <w:start w:val="1"/>
      <w:numFmt w:val="bullet"/>
      <w:lvlText w:val="–"/>
      <w:lvlJc w:val="left"/>
      <w:pPr>
        <w:tabs>
          <w:tab w:val="num" w:pos="3600"/>
        </w:tabs>
        <w:ind w:left="3600" w:hanging="360"/>
      </w:pPr>
      <w:rPr>
        <w:rFonts w:ascii="Franklin Gothic Book" w:hAnsi="Franklin Gothic Book" w:hint="default"/>
      </w:rPr>
    </w:lvl>
    <w:lvl w:ilvl="5" w:tplc="1966E194" w:tentative="1">
      <w:start w:val="1"/>
      <w:numFmt w:val="bullet"/>
      <w:lvlText w:val="–"/>
      <w:lvlJc w:val="left"/>
      <w:pPr>
        <w:tabs>
          <w:tab w:val="num" w:pos="4320"/>
        </w:tabs>
        <w:ind w:left="4320" w:hanging="360"/>
      </w:pPr>
      <w:rPr>
        <w:rFonts w:ascii="Franklin Gothic Book" w:hAnsi="Franklin Gothic Book" w:hint="default"/>
      </w:rPr>
    </w:lvl>
    <w:lvl w:ilvl="6" w:tplc="A8E28AA2" w:tentative="1">
      <w:start w:val="1"/>
      <w:numFmt w:val="bullet"/>
      <w:lvlText w:val="–"/>
      <w:lvlJc w:val="left"/>
      <w:pPr>
        <w:tabs>
          <w:tab w:val="num" w:pos="5040"/>
        </w:tabs>
        <w:ind w:left="5040" w:hanging="360"/>
      </w:pPr>
      <w:rPr>
        <w:rFonts w:ascii="Franklin Gothic Book" w:hAnsi="Franklin Gothic Book" w:hint="default"/>
      </w:rPr>
    </w:lvl>
    <w:lvl w:ilvl="7" w:tplc="D2CA38C8" w:tentative="1">
      <w:start w:val="1"/>
      <w:numFmt w:val="bullet"/>
      <w:lvlText w:val="–"/>
      <w:lvlJc w:val="left"/>
      <w:pPr>
        <w:tabs>
          <w:tab w:val="num" w:pos="5760"/>
        </w:tabs>
        <w:ind w:left="5760" w:hanging="360"/>
      </w:pPr>
      <w:rPr>
        <w:rFonts w:ascii="Franklin Gothic Book" w:hAnsi="Franklin Gothic Book" w:hint="default"/>
      </w:rPr>
    </w:lvl>
    <w:lvl w:ilvl="8" w:tplc="B9CAFB5A"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73683FD7"/>
    <w:multiLevelType w:val="hybridMultilevel"/>
    <w:tmpl w:val="98100BEE"/>
    <w:lvl w:ilvl="0" w:tplc="2D2A1C3A">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06717"/>
    <w:multiLevelType w:val="hybridMultilevel"/>
    <w:tmpl w:val="3B62857A"/>
    <w:lvl w:ilvl="0" w:tplc="C5746C96">
      <w:start w:val="3"/>
      <w:numFmt w:val="lowerLetter"/>
      <w:lvlText w:val="%1."/>
      <w:lvlJc w:val="left"/>
      <w:pPr>
        <w:ind w:left="1440" w:hanging="360"/>
      </w:pPr>
      <w:rPr>
        <w:rFonts w:asciiTheme="minorHAnsi" w:eastAsiaTheme="minorEastAsia" w:hAnsi="Franklin Gothic Book" w:cstheme="minorBidi" w:hint="default"/>
        <w:color w:val="44546A" w:themeColor="tex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A64966"/>
    <w:multiLevelType w:val="hybridMultilevel"/>
    <w:tmpl w:val="49D84DB2"/>
    <w:lvl w:ilvl="0" w:tplc="3D7E9CD4">
      <w:start w:val="1"/>
      <w:numFmt w:val="bullet"/>
      <w:lvlText w:val="■"/>
      <w:lvlJc w:val="left"/>
      <w:pPr>
        <w:tabs>
          <w:tab w:val="num" w:pos="720"/>
        </w:tabs>
        <w:ind w:left="720" w:hanging="360"/>
      </w:pPr>
      <w:rPr>
        <w:rFonts w:ascii="Franklin Gothic Book" w:hAnsi="Franklin Gothic Book" w:hint="default"/>
      </w:rPr>
    </w:lvl>
    <w:lvl w:ilvl="1" w:tplc="E5EE8D10" w:tentative="1">
      <w:start w:val="1"/>
      <w:numFmt w:val="bullet"/>
      <w:lvlText w:val="■"/>
      <w:lvlJc w:val="left"/>
      <w:pPr>
        <w:tabs>
          <w:tab w:val="num" w:pos="1440"/>
        </w:tabs>
        <w:ind w:left="1440" w:hanging="360"/>
      </w:pPr>
      <w:rPr>
        <w:rFonts w:ascii="Franklin Gothic Book" w:hAnsi="Franklin Gothic Book" w:hint="default"/>
      </w:rPr>
    </w:lvl>
    <w:lvl w:ilvl="2" w:tplc="3B1E6974" w:tentative="1">
      <w:start w:val="1"/>
      <w:numFmt w:val="bullet"/>
      <w:lvlText w:val="■"/>
      <w:lvlJc w:val="left"/>
      <w:pPr>
        <w:tabs>
          <w:tab w:val="num" w:pos="2160"/>
        </w:tabs>
        <w:ind w:left="2160" w:hanging="360"/>
      </w:pPr>
      <w:rPr>
        <w:rFonts w:ascii="Franklin Gothic Book" w:hAnsi="Franklin Gothic Book" w:hint="default"/>
      </w:rPr>
    </w:lvl>
    <w:lvl w:ilvl="3" w:tplc="E9B6789A" w:tentative="1">
      <w:start w:val="1"/>
      <w:numFmt w:val="bullet"/>
      <w:lvlText w:val="■"/>
      <w:lvlJc w:val="left"/>
      <w:pPr>
        <w:tabs>
          <w:tab w:val="num" w:pos="2880"/>
        </w:tabs>
        <w:ind w:left="2880" w:hanging="360"/>
      </w:pPr>
      <w:rPr>
        <w:rFonts w:ascii="Franklin Gothic Book" w:hAnsi="Franklin Gothic Book" w:hint="default"/>
      </w:rPr>
    </w:lvl>
    <w:lvl w:ilvl="4" w:tplc="3132CA1E" w:tentative="1">
      <w:start w:val="1"/>
      <w:numFmt w:val="bullet"/>
      <w:lvlText w:val="■"/>
      <w:lvlJc w:val="left"/>
      <w:pPr>
        <w:tabs>
          <w:tab w:val="num" w:pos="3600"/>
        </w:tabs>
        <w:ind w:left="3600" w:hanging="360"/>
      </w:pPr>
      <w:rPr>
        <w:rFonts w:ascii="Franklin Gothic Book" w:hAnsi="Franklin Gothic Book" w:hint="default"/>
      </w:rPr>
    </w:lvl>
    <w:lvl w:ilvl="5" w:tplc="8394656C" w:tentative="1">
      <w:start w:val="1"/>
      <w:numFmt w:val="bullet"/>
      <w:lvlText w:val="■"/>
      <w:lvlJc w:val="left"/>
      <w:pPr>
        <w:tabs>
          <w:tab w:val="num" w:pos="4320"/>
        </w:tabs>
        <w:ind w:left="4320" w:hanging="360"/>
      </w:pPr>
      <w:rPr>
        <w:rFonts w:ascii="Franklin Gothic Book" w:hAnsi="Franklin Gothic Book" w:hint="default"/>
      </w:rPr>
    </w:lvl>
    <w:lvl w:ilvl="6" w:tplc="430ED6A6" w:tentative="1">
      <w:start w:val="1"/>
      <w:numFmt w:val="bullet"/>
      <w:lvlText w:val="■"/>
      <w:lvlJc w:val="left"/>
      <w:pPr>
        <w:tabs>
          <w:tab w:val="num" w:pos="5040"/>
        </w:tabs>
        <w:ind w:left="5040" w:hanging="360"/>
      </w:pPr>
      <w:rPr>
        <w:rFonts w:ascii="Franklin Gothic Book" w:hAnsi="Franklin Gothic Book" w:hint="default"/>
      </w:rPr>
    </w:lvl>
    <w:lvl w:ilvl="7" w:tplc="1B68B142" w:tentative="1">
      <w:start w:val="1"/>
      <w:numFmt w:val="bullet"/>
      <w:lvlText w:val="■"/>
      <w:lvlJc w:val="left"/>
      <w:pPr>
        <w:tabs>
          <w:tab w:val="num" w:pos="5760"/>
        </w:tabs>
        <w:ind w:left="5760" w:hanging="360"/>
      </w:pPr>
      <w:rPr>
        <w:rFonts w:ascii="Franklin Gothic Book" w:hAnsi="Franklin Gothic Book" w:hint="default"/>
      </w:rPr>
    </w:lvl>
    <w:lvl w:ilvl="8" w:tplc="B4E4070C"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0"/>
  </w:num>
  <w:num w:numId="2">
    <w:abstractNumId w:val="5"/>
  </w:num>
  <w:num w:numId="3">
    <w:abstractNumId w:val="4"/>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E"/>
    <w:rsid w:val="000175B1"/>
    <w:rsid w:val="00065B71"/>
    <w:rsid w:val="00146EF8"/>
    <w:rsid w:val="001A1FA9"/>
    <w:rsid w:val="001B1E5E"/>
    <w:rsid w:val="001E591E"/>
    <w:rsid w:val="00227EE5"/>
    <w:rsid w:val="002A6D0B"/>
    <w:rsid w:val="002C3C87"/>
    <w:rsid w:val="003E62B3"/>
    <w:rsid w:val="003E7A7A"/>
    <w:rsid w:val="00521B0B"/>
    <w:rsid w:val="006077D2"/>
    <w:rsid w:val="00614923"/>
    <w:rsid w:val="006A2E84"/>
    <w:rsid w:val="00965C6C"/>
    <w:rsid w:val="00A94268"/>
    <w:rsid w:val="00AD46D8"/>
    <w:rsid w:val="00B742C6"/>
    <w:rsid w:val="00C73C13"/>
    <w:rsid w:val="00C77613"/>
    <w:rsid w:val="00C83586"/>
    <w:rsid w:val="00CF28F3"/>
    <w:rsid w:val="00DD6D41"/>
    <w:rsid w:val="00E50A5A"/>
    <w:rsid w:val="00E54855"/>
    <w:rsid w:val="00E55DB6"/>
    <w:rsid w:val="00E64262"/>
    <w:rsid w:val="00E94770"/>
    <w:rsid w:val="00EF7341"/>
    <w:rsid w:val="00F97615"/>
    <w:rsid w:val="00FC3CD9"/>
    <w:rsid w:val="00FD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363AD-DD04-46A7-90D0-76AA57C7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A5A"/>
    <w:pPr>
      <w:ind w:left="720"/>
      <w:contextualSpacing/>
    </w:pPr>
  </w:style>
  <w:style w:type="character" w:styleId="Hyperlink">
    <w:name w:val="Hyperlink"/>
    <w:basedOn w:val="DefaultParagraphFont"/>
    <w:uiPriority w:val="99"/>
    <w:unhideWhenUsed/>
    <w:rsid w:val="00965C6C"/>
    <w:rPr>
      <w:color w:val="0563C1" w:themeColor="hyperlink"/>
      <w:u w:val="single"/>
    </w:rPr>
  </w:style>
  <w:style w:type="paragraph" w:styleId="NormalWeb">
    <w:name w:val="Normal (Web)"/>
    <w:basedOn w:val="Normal"/>
    <w:uiPriority w:val="99"/>
    <w:unhideWhenUsed/>
    <w:rsid w:val="003E62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4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23"/>
    <w:rPr>
      <w:rFonts w:ascii="Segoe UI" w:hAnsi="Segoe UI" w:cs="Segoe UI"/>
      <w:sz w:val="18"/>
      <w:szCs w:val="18"/>
    </w:rPr>
  </w:style>
  <w:style w:type="paragraph" w:styleId="Header">
    <w:name w:val="header"/>
    <w:basedOn w:val="Normal"/>
    <w:link w:val="HeaderChar"/>
    <w:uiPriority w:val="99"/>
    <w:unhideWhenUsed/>
    <w:rsid w:val="00227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EE5"/>
  </w:style>
  <w:style w:type="paragraph" w:styleId="Footer">
    <w:name w:val="footer"/>
    <w:basedOn w:val="Normal"/>
    <w:link w:val="FooterChar"/>
    <w:uiPriority w:val="99"/>
    <w:unhideWhenUsed/>
    <w:rsid w:val="00227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6916">
      <w:bodyDiv w:val="1"/>
      <w:marLeft w:val="0"/>
      <w:marRight w:val="0"/>
      <w:marTop w:val="0"/>
      <w:marBottom w:val="0"/>
      <w:divBdr>
        <w:top w:val="none" w:sz="0" w:space="0" w:color="auto"/>
        <w:left w:val="none" w:sz="0" w:space="0" w:color="auto"/>
        <w:bottom w:val="none" w:sz="0" w:space="0" w:color="auto"/>
        <w:right w:val="none" w:sz="0" w:space="0" w:color="auto"/>
      </w:divBdr>
    </w:div>
    <w:div w:id="494497428">
      <w:bodyDiv w:val="1"/>
      <w:marLeft w:val="0"/>
      <w:marRight w:val="0"/>
      <w:marTop w:val="0"/>
      <w:marBottom w:val="0"/>
      <w:divBdr>
        <w:top w:val="none" w:sz="0" w:space="0" w:color="auto"/>
        <w:left w:val="none" w:sz="0" w:space="0" w:color="auto"/>
        <w:bottom w:val="none" w:sz="0" w:space="0" w:color="auto"/>
        <w:right w:val="none" w:sz="0" w:space="0" w:color="auto"/>
      </w:divBdr>
    </w:div>
    <w:div w:id="521748100">
      <w:bodyDiv w:val="1"/>
      <w:marLeft w:val="0"/>
      <w:marRight w:val="0"/>
      <w:marTop w:val="0"/>
      <w:marBottom w:val="0"/>
      <w:divBdr>
        <w:top w:val="none" w:sz="0" w:space="0" w:color="auto"/>
        <w:left w:val="none" w:sz="0" w:space="0" w:color="auto"/>
        <w:bottom w:val="none" w:sz="0" w:space="0" w:color="auto"/>
        <w:right w:val="none" w:sz="0" w:space="0" w:color="auto"/>
      </w:divBdr>
      <w:divsChild>
        <w:div w:id="135487248">
          <w:marLeft w:val="605"/>
          <w:marRight w:val="0"/>
          <w:marTop w:val="200"/>
          <w:marBottom w:val="40"/>
          <w:divBdr>
            <w:top w:val="none" w:sz="0" w:space="0" w:color="auto"/>
            <w:left w:val="none" w:sz="0" w:space="0" w:color="auto"/>
            <w:bottom w:val="none" w:sz="0" w:space="0" w:color="auto"/>
            <w:right w:val="none" w:sz="0" w:space="0" w:color="auto"/>
          </w:divBdr>
        </w:div>
      </w:divsChild>
    </w:div>
    <w:div w:id="614794809">
      <w:bodyDiv w:val="1"/>
      <w:marLeft w:val="0"/>
      <w:marRight w:val="0"/>
      <w:marTop w:val="0"/>
      <w:marBottom w:val="0"/>
      <w:divBdr>
        <w:top w:val="none" w:sz="0" w:space="0" w:color="auto"/>
        <w:left w:val="none" w:sz="0" w:space="0" w:color="auto"/>
        <w:bottom w:val="none" w:sz="0" w:space="0" w:color="auto"/>
        <w:right w:val="none" w:sz="0" w:space="0" w:color="auto"/>
      </w:divBdr>
    </w:div>
    <w:div w:id="1479691872">
      <w:bodyDiv w:val="1"/>
      <w:marLeft w:val="0"/>
      <w:marRight w:val="0"/>
      <w:marTop w:val="0"/>
      <w:marBottom w:val="0"/>
      <w:divBdr>
        <w:top w:val="none" w:sz="0" w:space="0" w:color="auto"/>
        <w:left w:val="none" w:sz="0" w:space="0" w:color="auto"/>
        <w:bottom w:val="none" w:sz="0" w:space="0" w:color="auto"/>
        <w:right w:val="none" w:sz="0" w:space="0" w:color="auto"/>
      </w:divBdr>
      <w:divsChild>
        <w:div w:id="78720741">
          <w:marLeft w:val="605"/>
          <w:marRight w:val="0"/>
          <w:marTop w:val="200"/>
          <w:marBottom w:val="40"/>
          <w:divBdr>
            <w:top w:val="none" w:sz="0" w:space="0" w:color="auto"/>
            <w:left w:val="none" w:sz="0" w:space="0" w:color="auto"/>
            <w:bottom w:val="none" w:sz="0" w:space="0" w:color="auto"/>
            <w:right w:val="none" w:sz="0" w:space="0" w:color="auto"/>
          </w:divBdr>
        </w:div>
        <w:div w:id="2003242678">
          <w:marLeft w:val="605"/>
          <w:marRight w:val="0"/>
          <w:marTop w:val="200"/>
          <w:marBottom w:val="40"/>
          <w:divBdr>
            <w:top w:val="none" w:sz="0" w:space="0" w:color="auto"/>
            <w:left w:val="none" w:sz="0" w:space="0" w:color="auto"/>
            <w:bottom w:val="none" w:sz="0" w:space="0" w:color="auto"/>
            <w:right w:val="none" w:sz="0" w:space="0" w:color="auto"/>
          </w:divBdr>
        </w:div>
      </w:divsChild>
    </w:div>
    <w:div w:id="1491215546">
      <w:bodyDiv w:val="1"/>
      <w:marLeft w:val="0"/>
      <w:marRight w:val="0"/>
      <w:marTop w:val="0"/>
      <w:marBottom w:val="0"/>
      <w:divBdr>
        <w:top w:val="none" w:sz="0" w:space="0" w:color="auto"/>
        <w:left w:val="none" w:sz="0" w:space="0" w:color="auto"/>
        <w:bottom w:val="none" w:sz="0" w:space="0" w:color="auto"/>
        <w:right w:val="none" w:sz="0" w:space="0" w:color="auto"/>
      </w:divBdr>
      <w:divsChild>
        <w:div w:id="1067610137">
          <w:marLeft w:val="1440"/>
          <w:marRight w:val="0"/>
          <w:marTop w:val="100"/>
          <w:marBottom w:val="40"/>
          <w:divBdr>
            <w:top w:val="none" w:sz="0" w:space="0" w:color="auto"/>
            <w:left w:val="none" w:sz="0" w:space="0" w:color="auto"/>
            <w:bottom w:val="none" w:sz="0" w:space="0" w:color="auto"/>
            <w:right w:val="none" w:sz="0" w:space="0" w:color="auto"/>
          </w:divBdr>
        </w:div>
        <w:div w:id="1013579935">
          <w:marLeft w:val="1440"/>
          <w:marRight w:val="0"/>
          <w:marTop w:val="100"/>
          <w:marBottom w:val="40"/>
          <w:divBdr>
            <w:top w:val="none" w:sz="0" w:space="0" w:color="auto"/>
            <w:left w:val="none" w:sz="0" w:space="0" w:color="auto"/>
            <w:bottom w:val="none" w:sz="0" w:space="0" w:color="auto"/>
            <w:right w:val="none" w:sz="0" w:space="0" w:color="auto"/>
          </w:divBdr>
        </w:div>
        <w:div w:id="892540054">
          <w:marLeft w:val="1440"/>
          <w:marRight w:val="0"/>
          <w:marTop w:val="100"/>
          <w:marBottom w:val="40"/>
          <w:divBdr>
            <w:top w:val="none" w:sz="0" w:space="0" w:color="auto"/>
            <w:left w:val="none" w:sz="0" w:space="0" w:color="auto"/>
            <w:bottom w:val="none" w:sz="0" w:space="0" w:color="auto"/>
            <w:right w:val="none" w:sz="0" w:space="0" w:color="auto"/>
          </w:divBdr>
        </w:div>
      </w:divsChild>
    </w:div>
    <w:div w:id="1950505806">
      <w:bodyDiv w:val="1"/>
      <w:marLeft w:val="0"/>
      <w:marRight w:val="0"/>
      <w:marTop w:val="0"/>
      <w:marBottom w:val="0"/>
      <w:divBdr>
        <w:top w:val="none" w:sz="0" w:space="0" w:color="auto"/>
        <w:left w:val="none" w:sz="0" w:space="0" w:color="auto"/>
        <w:bottom w:val="none" w:sz="0" w:space="0" w:color="auto"/>
        <w:right w:val="none" w:sz="0" w:space="0" w:color="auto"/>
      </w:divBdr>
      <w:divsChild>
        <w:div w:id="2000694498">
          <w:marLeft w:val="605"/>
          <w:marRight w:val="0"/>
          <w:marTop w:val="200"/>
          <w:marBottom w:val="40"/>
          <w:divBdr>
            <w:top w:val="none" w:sz="0" w:space="0" w:color="auto"/>
            <w:left w:val="none" w:sz="0" w:space="0" w:color="auto"/>
            <w:bottom w:val="none" w:sz="0" w:space="0" w:color="auto"/>
            <w:right w:val="none" w:sz="0" w:space="0" w:color="auto"/>
          </w:divBdr>
        </w:div>
      </w:divsChild>
    </w:div>
    <w:div w:id="2135052503">
      <w:bodyDiv w:val="1"/>
      <w:marLeft w:val="0"/>
      <w:marRight w:val="0"/>
      <w:marTop w:val="0"/>
      <w:marBottom w:val="0"/>
      <w:divBdr>
        <w:top w:val="none" w:sz="0" w:space="0" w:color="auto"/>
        <w:left w:val="none" w:sz="0" w:space="0" w:color="auto"/>
        <w:bottom w:val="none" w:sz="0" w:space="0" w:color="auto"/>
        <w:right w:val="none" w:sz="0" w:space="0" w:color="auto"/>
      </w:divBdr>
      <w:divsChild>
        <w:div w:id="1015185047">
          <w:marLeft w:val="605"/>
          <w:marRight w:val="0"/>
          <w:marTop w:val="200"/>
          <w:marBottom w:val="40"/>
          <w:divBdr>
            <w:top w:val="none" w:sz="0" w:space="0" w:color="auto"/>
            <w:left w:val="none" w:sz="0" w:space="0" w:color="auto"/>
            <w:bottom w:val="none" w:sz="0" w:space="0" w:color="auto"/>
            <w:right w:val="none" w:sz="0" w:space="0" w:color="auto"/>
          </w:divBdr>
        </w:div>
        <w:div w:id="1865291769">
          <w:marLeft w:val="605"/>
          <w:marRight w:val="0"/>
          <w:marTop w:val="200"/>
          <w:marBottom w:val="40"/>
          <w:divBdr>
            <w:top w:val="none" w:sz="0" w:space="0" w:color="auto"/>
            <w:left w:val="none" w:sz="0" w:space="0" w:color="auto"/>
            <w:bottom w:val="none" w:sz="0" w:space="0" w:color="auto"/>
            <w:right w:val="none" w:sz="0" w:space="0" w:color="auto"/>
          </w:divBdr>
        </w:div>
        <w:div w:id="1083264726">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llenm@mcpherson.edu" TargetMode="External"/><Relationship Id="rId3" Type="http://schemas.openxmlformats.org/officeDocument/2006/relationships/settings" Target="settings.xml"/><Relationship Id="rId7" Type="http://schemas.openxmlformats.org/officeDocument/2006/relationships/hyperlink" Target="mailto:falkd@mcpher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Stocklin-Smith</dc:creator>
  <cp:keywords/>
  <dc:description/>
  <cp:lastModifiedBy>Brenda Stocklin-Smith</cp:lastModifiedBy>
  <cp:revision>7</cp:revision>
  <cp:lastPrinted>2024-07-30T20:06:00Z</cp:lastPrinted>
  <dcterms:created xsi:type="dcterms:W3CDTF">2024-07-30T20:02:00Z</dcterms:created>
  <dcterms:modified xsi:type="dcterms:W3CDTF">2024-07-30T20:08:00Z</dcterms:modified>
</cp:coreProperties>
</file>